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表25 运行状态数据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运行状态数据</w:t>
            </w:r>
          </w:p>
        </w:tc>
        <w:tc>
          <w:tcPr>
            <w:tcW w:type="dxa" w:w="1728"/>
          </w:tcPr>
          <w:p>
            <w:r>
              <w:t>运行状态数据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RT13-SA5-11BC</w:t>
            </w:r>
          </w:p>
        </w:tc>
        <w:tc>
          <w:tcPr>
            <w:tcW w:type="dxa" w:w="1728"/>
          </w:tcPr>
          <w:p>
            <w:r>
              <w:t>RT13-SA5-11BC</w:t>
            </w:r>
          </w:p>
        </w:tc>
        <w:tc>
          <w:tcPr>
            <w:tcW w:type="dxa" w:w="1728"/>
          </w:tcPr>
          <w:p>
            <w:r>
              <w:t>RT13-SA5-11BC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</w:tr>
      <w:tr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错误处理</w:t>
            </w:r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值域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  <w:tc>
          <w:tcPr>
            <w:tcW w:type="dxa" w:w="1728"/>
          </w:tcPr>
          <w:p>
            <w:r>
              <w:t>0~4294967295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执行的指令或状态</w:t>
            </w:r>
          </w:p>
        </w:tc>
        <w:tc>
          <w:tcPr>
            <w:tcW w:type="dxa" w:w="1728"/>
          </w:tcPr>
          <w:p>
            <w:r>
              <w:t>执行的指令或状态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注1：以上电为零点。</w:t>
            </w:r>
          </w:p>
        </w:tc>
        <w:tc>
          <w:tcPr>
            <w:tcW w:type="dxa" w:w="1728"/>
          </w:tcPr>
          <w:p>
            <w:r>
              <w:t>注1：以上电为零点。</w:t>
            </w:r>
          </w:p>
        </w:tc>
        <w:tc>
          <w:tcPr>
            <w:tcW w:type="dxa" w:w="1728"/>
          </w:tcPr>
          <w:p>
            <w:r>
              <w:t>注1：以上电为零点。</w:t>
            </w:r>
          </w:p>
        </w:tc>
        <w:tc>
          <w:tcPr>
            <w:tcW w:type="dxa" w:w="1728"/>
          </w:tcPr>
          <w:p>
            <w:r>
              <w:t>注1：以上电为零点。</w:t>
            </w:r>
          </w:p>
        </w:tc>
        <w:tc>
          <w:tcPr>
            <w:tcW w:type="dxa" w:w="1728"/>
          </w:tcPr>
          <w:p>
            <w:r>
              <w:t>注1：以上电为零点。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