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液压系统状态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通信帧名称</w:t>
            </w:r>
          </w:p>
        </w:tc>
        <w:tc>
          <w:tcPr>
            <w:tcW w:type="dxa" w:w="1728"/>
          </w:tcPr>
          <w:p>
            <w:r>
              <w:t>液压系统状态</w:t>
            </w:r>
          </w:p>
        </w:tc>
        <w:tc>
          <w:tcPr>
            <w:tcW w:type="dxa" w:w="1728"/>
          </w:tcPr>
          <w:p>
            <w:r>
              <w:t>信息标识</w:t>
            </w:r>
          </w:p>
        </w:tc>
        <w:tc>
          <w:tcPr>
            <w:tcW w:type="dxa" w:w="1728"/>
          </w:tcPr>
          <w:p>
            <w:r>
              <w:t>0xAB05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信息流向</w:t>
            </w:r>
          </w:p>
        </w:tc>
        <w:tc>
          <w:tcPr>
            <w:tcW w:type="dxa" w:w="1728"/>
          </w:tcPr>
          <w:p>
            <w:r>
              <w:t>地面→机载</w:t>
            </w:r>
          </w:p>
        </w:tc>
        <w:tc>
          <w:tcPr>
            <w:tcW w:type="dxa" w:w="1728"/>
          </w:tcPr>
          <w:p>
            <w:r>
              <w:t>传送周期</w:t>
            </w:r>
          </w:p>
        </w:tc>
        <w:tc>
          <w:tcPr>
            <w:tcW w:type="dxa" w:w="1728"/>
          </w:tcPr>
          <w:p>
            <w:r>
              <w:t>50ms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项目</w:t>
            </w:r>
          </w:p>
        </w:tc>
        <w:tc>
          <w:tcPr>
            <w:tcW w:type="dxa" w:w="1728"/>
          </w:tcPr>
          <w:p>
            <w:r>
              <w:t>量程</w:t>
            </w:r>
          </w:p>
        </w:tc>
        <w:tc>
          <w:tcPr>
            <w:tcW w:type="dxa" w:w="1728"/>
          </w:tcPr>
          <w:p>
            <w:r>
              <w:t>精度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液压压力</w:t>
            </w:r>
          </w:p>
        </w:tc>
        <w:tc>
          <w:tcPr>
            <w:tcW w:type="dxa" w:w="1728"/>
          </w:tcPr>
          <w:p>
            <w:r>
              <w:t>0~35MPa</w:t>
            </w:r>
          </w:p>
        </w:tc>
        <w:tc>
          <w:tcPr>
            <w:tcW w:type="dxa" w:w="1728"/>
          </w:tcPr>
          <w:p>
            <w:r>
              <w:t>±0.5MPa</w:t>
            </w:r>
          </w:p>
        </w:tc>
        <w:tc>
          <w:tcPr>
            <w:tcW w:type="dxa" w:w="1728"/>
          </w:tcPr>
          <w:p>
            <w:r>
              <w:t>系统压力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液压温度</w:t>
            </w:r>
          </w:p>
        </w:tc>
        <w:tc>
          <w:tcPr>
            <w:tcW w:type="dxa" w:w="1728"/>
          </w:tcPr>
          <w:p>
            <w:r>
              <w:t>0~120℃</w:t>
            </w:r>
          </w:p>
        </w:tc>
        <w:tc>
          <w:tcPr>
            <w:tcW w:type="dxa" w:w="1728"/>
          </w:tcPr>
          <w:p>
            <w:r>
              <w:t>±1℃</w:t>
            </w:r>
          </w:p>
        </w:tc>
        <w:tc>
          <w:tcPr>
            <w:tcW w:type="dxa" w:w="1728"/>
          </w:tcPr>
          <w:p>
            <w:r>
              <w:t>油液温度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