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陀螺测量状态2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通信帧名称</w:t>
            </w:r>
          </w:p>
        </w:tc>
        <w:tc>
          <w:tcPr>
            <w:tcW w:type="dxa" w:w="1440"/>
          </w:tcPr>
          <w:p>
            <w:r>
              <w:t>陀螺测量状态2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>
            <w:r>
              <w:t>0xBC04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信息流向</w:t>
            </w:r>
          </w:p>
        </w:tc>
        <w:tc>
          <w:tcPr>
            <w:tcW w:type="dxa" w:w="1440"/>
          </w:tcPr>
          <w:p>
            <w:r>
              <w:t>地面→机载</w:t>
            </w:r>
          </w:p>
        </w:tc>
        <w:tc>
          <w:tcPr>
            <w:tcW w:type="dxa" w:w="1440"/>
          </w:tcPr>
          <w:p>
            <w:r>
              <w:t>传送周期</w:t>
            </w:r>
          </w:p>
        </w:tc>
        <w:tc>
          <w:tcPr>
            <w:tcW w:type="dxa" w:w="1440"/>
          </w:tcPr>
          <w:p>
            <w:r>
              <w:t>50ms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量程</w:t>
            </w:r>
          </w:p>
        </w:tc>
        <w:tc>
          <w:tcPr>
            <w:tcW w:type="dxa" w:w="1440"/>
          </w:tcPr>
          <w:p>
            <w:r>
              <w:t>精度</w:t>
            </w:r>
          </w:p>
        </w:tc>
        <w:tc>
          <w:tcPr>
            <w:tcW w:type="dxa" w:w="1440"/>
          </w:tcPr>
          <w:p>
            <w:r>
              <w:t>通道</w:t>
            </w:r>
          </w:p>
        </w:tc>
        <w:tc>
          <w:tcPr>
            <w:tcW w:type="dxa" w:w="1440"/>
          </w:tcPr>
          <w:p>
            <w:r>
              <w:t>描述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俯仰角速率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横滚角速率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