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</w:pPr>
      <w:r>
        <w:rPr>
          <w:rFonts w:ascii="Calibri" w:hAnsi="Calibri" w:eastAsia="Microsoft YaHei"/>
          <w:b/>
          <w:color w:val="0B2545"/>
          <w:sz w:val="48"/>
        </w:rPr>
        <w:t>多零直发持币分红V3</w:t>
      </w:r>
    </w:p>
    <w:p>
      <w:pPr>
        <w:spacing w:before="0" w:after="280" w:line="300" w:lineRule="auto"/>
      </w:pPr>
      <w:r>
        <w:t>创建Token / 30个0（30个零）供应量 / 默认BNB底池 / 平台币支付创建费 / 15%平台税 / 普通白名单与限购版名单</w:t>
      </w:r>
    </w:p>
    <w:p>
      <w:pPr>
        <w:spacing w:before="0" w:after="200" w:line="300" w:lineRule="auto"/>
      </w:pPr>
      <w:r>
        <w:t>定位：这是一个偏傻瓜式的多零代币创建工具。项目方填写名称、符号和供应量后，即可创建带默认BNB底池、15%平台税收和白名单能力的代币。创建费用改为平台币支付，BNB仅用于链上Gas和加BNB底池，后续由创建者钱包完成加池、开盘和运营管理。</w:t>
      </w:r>
    </w:p>
    <w:p>
      <w:pPr/>
      <w:r>
        <w:rPr>
          <w:b/>
          <w:color w:val="1F4E79"/>
        </w:rPr>
        <w:t>平台币支付说明：创建者需要先在钱包中持有平台币，并授权发射台合约扣款；创建时自动从创建者钱包扣除平台币到平台收款地址。平台币合约地址、收费数量和收款地址由平台后台配置。若平台币余额或授权不足，创建交易会失败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一、项目定位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项目类型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多零直发代币创建工具，偏持币分红V3模式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适用场景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直接发行多0代币，创建后由项目钱包管理权限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核心卖点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支持0精度和30个0（30个零）供应量，默认BNB底池，创建费用改为平台币支付，默认写入15%平台税收，支持Pancake加池和手动开盘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操作方式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前端填写参数，一键上链创建，后续通过项目方钱包管理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展示风格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类似创建Token页面，左侧展示卖点，右侧填写参数、普通白名单和限购版名单选项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二、发行参数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代币名称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项目方自定义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代币符号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项目方自定义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初始供应量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支持30个0（30个零）级别供应量，例如 1 后面 30 个 0 或 21 后面 30 个 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小数位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建议0位小数，按整数发行，更适合多零代币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交易对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默认Pancake WBNB，也就是默认BNB底池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底池币种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默认BNB，用于加池和交易对；平台币只用于支付创建费，不作为默认底池币</w:t>
            </w:r>
          </w:p>
        </w:tc>
      </w:tr>
      <w:tr>
        <w:tc>
          <w:tcPr>
            <w:tcW w:type="dxa" w:w="2500"/>
          </w:tcPr>
          <w:p>
            <w:r>
              <w:t>平台币支付流程</w:t>
            </w:r>
          </w:p>
        </w:tc>
        <w:tc>
          <w:tcPr>
            <w:tcW w:type="dxa" w:w="6860"/>
          </w:tcPr>
          <w:p>
            <w:r>
              <w:t>持有平台币 -&gt; 授权发射台 -&gt; 创建时代扣至平台收款地址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创建费用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平台币支付，创建前需授权；具体收费数量由平台后台配置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开盘方式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支持手动开启交易，建议先加池再开盘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创建后权限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谁创建代币，谁拥有该代币的管理权限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三、自动税收模板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平台创建的每个代币会自动带入默认税收模板，不需要项目方逐项复杂配置。默认所有交易税收按15%进入平台地址。税收在链上可查，前端可以做简化展示，业务上以合约参数和平台地址为准。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100"/>
        <w:gridCol w:w="1600"/>
        <w:gridCol w:w="56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默认方向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平台税收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默认15%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所有税收默认进入平台地址，创建后自动生效。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持币分红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按版本配置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保留持币分红V3能力，可按持币比例分配USDT或指定分红币。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销毁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按版本配置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可保留销毁逻辑，减少流通量。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回流加池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按版本配置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可保留回流LP逻辑，增强池子深度。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税收展示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前端简化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页面可减少复杂字段，但链上规则仍以合约参数为准。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四、白名单机制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白名单拆成两个选项：普通白名单和限购版名单，避免项目方地址、做市地址和用户限购名单混在一起。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100"/>
        <w:gridCol w:w="2800"/>
        <w:gridCol w:w="44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白名单类型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使用对象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作用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普通白名单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项目方、加池钱包、做市钱包、测试钱包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用于开盘前转账、加池、测试和必要管理，可按合约配置免交易限制。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限购版名单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限购阶段用户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只给买入资格和额度，不给管理权限；仍受单笔上限、钱包上限或白名单份数限制。</w:t>
            </w:r>
          </w:p>
        </w:tc>
      </w:tr>
    </w:tbl>
    <w:p/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普通白名单可以一次添加多个地址，适合项目方批量导入。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限购版名单可以设置每个地址可买份数或最大买入量，用于限购阶段预热和控盘。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普通白名单和限购版名单互相独立，避免用户拿到项目方级别权限。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五、创建与开盘流程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填写代币名称、符号、供应量，默认支持30个0级别供应量。</w:t>
      </w:r>
    </w:p>
    <w:p>
      <w:pPr>
        <w:pStyle w:val="ListBullet"/>
        <w:spacing w:before="0" w:after="80" w:line="300" w:lineRule="auto"/>
        <w:ind w:left="540" w:hanging="271"/>
      </w:pPr>
      <w:r>
        <w:t>创建前准备少量BNB作为Gas，并持有足够平台币作为创建费用。</w:t>
      </w:r>
    </w:p>
    <w:p>
      <w:pPr>
        <w:pStyle w:val="ListBullet"/>
        <w:spacing w:before="0" w:after="80" w:line="300" w:lineRule="auto"/>
        <w:ind w:left="540" w:hanging="271"/>
      </w:pPr>
      <w:r>
        <w:t>创建时先授权平台币，系统扣除平台币创建费用到平台收款地址，并自动套用15%平台税收模板。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交易对默认Pancake WBNB，也就是默认BNB底池。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按需要添加普通白名单和限购版名单。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创建代币后先完成授权和加池。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确认LP和参数无误后，由创建者钱包手动开盘。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六、页面功能建议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1800"/>
        <w:gridCol w:w="3300"/>
        <w:gridCol w:w="42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页面模块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建议字段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创建Token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名称、符号、供应量、默认BNB底池、平台币支付状态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保持简单，默认值直接给30个0供应量和15%平台税收；创建费使用平台币支付，BNB只用于Gas和加池。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税收设置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平台地址、买入税、卖出税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默认15%进入平台地址，高级参数可以折叠，避免页面太乱。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普通白名单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多地址输入、批量添加、批量删除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给项目方和加池相关钱包使用。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限购版名单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地址、额度、钱包上限、限购份数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给用户限购阶段使用。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开盘管理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加池状态、交易状态、手动开盘按钮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开盘前提示先加池，减少误操作。</w:t>
            </w:r>
          </w:p>
        </w:tc>
      </w:tr>
      <w:tr>
        <w:tc>
          <w:tcPr>
            <w:tcW w:type="dxa" w:w="1800"/>
          </w:tcPr>
          <w:p>
            <w:r>
              <w:t>平台币支付</w:t>
            </w:r>
          </w:p>
        </w:tc>
        <w:tc>
          <w:tcPr>
            <w:tcW w:type="dxa" w:w="3300"/>
          </w:tcPr>
          <w:p>
            <w:r>
              <w:t>平台币余额、授权状态、创建费数量、平台收款地址</w:t>
            </w:r>
          </w:p>
        </w:tc>
        <w:tc>
          <w:tcPr>
            <w:tcW w:type="dxa" w:w="4260"/>
          </w:tcPr>
          <w:p>
            <w:r>
              <w:t>前端提示先授权再创建；余额或授权不足时阻止提交，避免用户白付Gas。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七、最终确认点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所有通过平台创建的币，都自动带默认15%平台税收模板。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默认BNB底池，交易对使用Pancake WBNB。</w:t>
      </w:r>
    </w:p>
    <w:p>
      <w:pPr>
        <w:pStyle w:val="ListBullet"/>
        <w:spacing w:before="0" w:after="80" w:line="300" w:lineRule="auto"/>
        <w:ind w:left="540" w:hanging="271"/>
      </w:pPr>
      <w:r>
        <w:t>创建费用改为平台币支付，具体数量由平台后台配置，BNB只用于Gas和加BNB底池。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支持30个0级别供应量，不限制只能15个0。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普通白名单支持多个地址批量管理。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限购版名单是单独选项，只控制买入资格和额度。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创建者就是该代币管理员，不再把权限留给平台部署钱包。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手动开盘保留，开盘前先完成加池和参数检查。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>多零直发持币分红V3 项目功能说明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