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t>Snowball发射台-多零直发持币分红V3</w:t>
      </w:r>
    </w:p>
    <w:p>
      <w:pPr>
        <w:spacing w:before="0" w:after="280" w:line="300" w:lineRule="auto"/>
      </w:pPr>
      <w:r>
        <w:t>创建Token / 30个0（30个零）供应量 / 默认BNB底池 / 自动开源 / 营销配置 / 普通白名单与限购版名单</w:t>
      </w:r>
    </w:p>
    <w:p>
      <w:pPr>
        <w:spacing w:before="0" w:after="200" w:line="300" w:lineRule="auto"/>
      </w:pPr>
      <w:r>
        <w:t>定位：这是一个偏傻瓜式的 Snowball 多零代币发射台。项目方填写名称、符号和供应量后，即可创建带默认BNB底池、15%税收模板、营销地址配置、自动开源和白名单能力的代币。创建费用仍为0.005 BNB，后续由创建者钱包完成加池、开盘、营销配置和运营管理。</w:t>
      </w:r>
    </w:p>
    <w:p>
      <w:pPr/>
      <w:r>
        <w:rPr>
          <w:b/>
          <w:color w:val="1F4E79"/>
        </w:rPr>
        <w:t>页面风格说明：前端以 Snowball 发射台为主题，可以加入雪球、雪花、冰晶、冷色高光等轻量元素，但创建流程仍保持简单，重点突出一键创建、自动开源、营销设置、白名单和手动开盘。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一、项目定位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项目类型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Snowball 多零直发代币发射台，偏持币分红V3模式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适用场景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直接发行多0代币，创建后由项目钱包管理权限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核心卖点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支持0精度和30个0（30个零）供应量，默认BNB底池，默认写入15%税收模板，支持营销地址配置、自动开源、Pancake加池和手动开盘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操作方式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前端填写参数，一键上链创建，后续通过项目方钱包管理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展示风格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Snowball 发射台风格，页面加入雪球、雪花、冰晶等轻量视觉元素；右侧填写参数、营销设置、普通白名单和限购版名单选项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二、发行参数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代币名称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项目方自定义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代币符号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项目方自定义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初始供应量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支持30个0（30个零）级别供应量，例如 1 后面 30 个 0 或 21 后面 30 个 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小数位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建议0位小数，按整数发行，更适合多零代币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交易对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默认Pancake WBNB，也就是默认BNB底池</w:t>
            </w:r>
          </w:p>
        </w:tc>
      </w:tr>
      <w:tr>
        <w:tc>
          <w:tcPr>
            <w:tcW w:type="dxa" w:w="2500"/>
          </w:tcPr>
          <w:p>
            <w:r>
              <w:t>营销地址</w:t>
            </w:r>
          </w:p>
        </w:tc>
        <w:tc>
          <w:tcPr>
            <w:tcW w:type="dxa" w:w="6860"/>
          </w:tcPr>
          <w:p>
            <w:r>
              <w:t>项目方可配置，用于接收营销税或营销资金</w:t>
            </w:r>
          </w:p>
        </w:tc>
      </w:tr>
      <w:tr>
        <w:tc>
          <w:tcPr>
            <w:tcW w:type="dxa" w:w="2500"/>
          </w:tcPr>
          <w:p>
            <w:r>
              <w:t>自动开源</w:t>
            </w:r>
          </w:p>
        </w:tc>
        <w:tc>
          <w:tcPr>
            <w:tcW w:type="dxa" w:w="6860"/>
          </w:tcPr>
          <w:p>
            <w:r>
              <w:t>创建后自动提交区块浏览器开源验证，失败时可手动补开源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底池币种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默认BNB，不让用户复杂选择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创建费用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0.005 BNB，创建代币时支付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开盘方式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支持手动开启交易，建议先加池再开盘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创建后权限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谁创建代币，谁拥有该代币的管理权限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三、自动税收模板</w:t>
      </w:r>
    </w:p>
    <w:p>
      <w:pPr>
        <w:spacing w:before="0" w:after="160" w:line="300" w:lineRule="auto"/>
      </w:pPr>
      <w:r>
        <w:t>平台创建的每个代币会自动带入默认税收模板，不需要项目方逐项复杂配置。默认税收模板支持平台地址和营销地址配置，营销资金用于项目推广、运营和社区活动。税收在链上可查，前端可以做简化展示，业务上以合约参数、平台地址和营销地址为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100"/>
        <w:gridCol w:w="1600"/>
        <w:gridCol w:w="56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默认方向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平台/营销税收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默认15%模板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默认套用平台税收模板，可配置平台地址和营销地址，营销资金用于推广和运营。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持币分红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按版本配置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保留持币分红V3能力，可按持币比例分配USDT或指定分红币。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销毁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按版本配置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可保留销毁逻辑，减少流通量。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回流加池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按版本配置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可保留回流LP逻辑，增强池子深度。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税收展示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前端简化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页面可减少复杂字段，但链上规则仍以合约参数为准。</w:t>
            </w:r>
          </w:p>
        </w:tc>
      </w:tr>
      <w:tr>
        <w:tc>
          <w:tcPr>
            <w:tcW w:type="dxa" w:w="2100"/>
          </w:tcPr>
          <w:p>
            <w:r>
              <w:t>营销配置</w:t>
            </w:r>
          </w:p>
        </w:tc>
        <w:tc>
          <w:tcPr>
            <w:tcW w:type="dxa" w:w="1600"/>
          </w:tcPr>
          <w:p>
            <w:r>
              <w:t>项目方可设置</w:t>
            </w:r>
          </w:p>
        </w:tc>
        <w:tc>
          <w:tcPr>
            <w:tcW w:type="dxa" w:w="5660"/>
          </w:tcPr>
          <w:p>
            <w:r>
              <w:t>给项目方预留营销地址设置，用于营销、社区活动和后续运营。</w:t>
            </w:r>
          </w:p>
        </w:tc>
      </w:tr>
      <w:tr>
        <w:tc>
          <w:tcPr>
            <w:tcW w:type="dxa" w:w="2100"/>
          </w:tcPr>
          <w:p>
            <w:r>
              <w:t>自动开源</w:t>
            </w:r>
          </w:p>
        </w:tc>
        <w:tc>
          <w:tcPr>
            <w:tcW w:type="dxa" w:w="1600"/>
          </w:tcPr>
          <w:p>
            <w:r>
              <w:t>默认开启</w:t>
            </w:r>
          </w:p>
        </w:tc>
        <w:tc>
          <w:tcPr>
            <w:tcW w:type="dxa" w:w="5660"/>
          </w:tcPr>
          <w:p>
            <w:r>
              <w:t>创建成功后自动提交源码验证，减少项目方手动操作。</w:t>
            </w:r>
          </w:p>
        </w:tc>
      </w:tr>
    </w:tbl>
    <w:p/>
    <w:p>
      <w:pPr>
        <w:spacing w:before="360" w:after="200" w:line="300" w:lineRule="auto"/>
      </w:pPr>
      <w:r>
        <w:t>四、营销配置、自动开源与白名单机制</w:t>
      </w:r>
    </w:p>
    <w:p>
      <w:pPr>
        <w:spacing w:before="0" w:after="160" w:line="300" w:lineRule="auto"/>
      </w:pPr>
      <w:r>
        <w:t>项目方可以在创建或管理阶段设置营销地址，用于接收营销税或营销资金；合约创建后默认提交开源验证，若区块浏览器接口延迟，可保留手动开源作为兜底。白名单拆成两个选项：普通白名单和限购版名单，避免项目方地址、做市地址和用户限购名单混在一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100"/>
        <w:gridCol w:w="2800"/>
        <w:gridCol w:w="44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白名单类型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使用对象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作用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普通白名单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项目方、加池钱包、做市钱包、测试钱包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用于开盘前转账、加池、测试和必要管理，可按合约配置免交易限制。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限购版名单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限购阶段用户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只给买入资格和额度，不给管理权限；仍受单笔上限、钱包上限或白名单份数限制。</w:t>
            </w:r>
          </w:p>
        </w:tc>
      </w:tr>
    </w:tbl>
    <w:p/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普通白名单可以一次添加多个地址，适合项目方批量导入。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限购版名单可以设置每个地址可买份数或最大买入量，用于限购阶段预热和控盘。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普通白名单和限购版名单互相独立，避免用户拿到项目方级别权限。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五、创建与开盘流程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填写代币名称、符号、供应量，默认支持30个0级别供应量。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创建时支付0.005 BNB创建费用。</w:t>
      </w:r>
    </w:p>
    <w:p>
      <w:pPr>
        <w:pStyle w:val="ListBullet"/>
        <w:spacing w:before="0" w:after="80" w:line="300" w:lineRule="auto"/>
        <w:ind w:left="540" w:hanging="271"/>
      </w:pPr>
      <w:r>
        <w:t>系统自动套用15%税收模板，并支持平台地址、营销地址等收款配置。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交易对默认Pancake WBNB，也就是默认BNB底池。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按需要添加普通白名单和限购版名单。</w:t>
      </w:r>
    </w:p>
    <w:p>
      <w:pPr>
        <w:pStyle w:val="ListBullet"/>
        <w:spacing w:before="0" w:after="80" w:line="300" w:lineRule="auto"/>
        <w:ind w:left="540" w:hanging="271"/>
      </w:pPr>
      <w:r>
        <w:t>创建代币后系统提交自动开源，项目方再完成授权和加池。</w:t>
      </w:r>
    </w:p>
    <w:p>
      <w:pPr>
        <w:pStyle w:val="ListBullet"/>
        <w:spacing w:before="0" w:after="80" w:line="300" w:lineRule="auto"/>
        <w:ind w:left="540" w:hanging="271"/>
      </w:pPr>
      <w:r>
        <w:t>确认LP、营销地址、白名单和参数无误后，由创建者钱包手动开盘。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六、页面功能建议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页面模块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建议字段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创建Token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名称、符号、供应量、默认BNB底池、营销地址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保持简单，默认值直接给30个0供应量和15%税收模板；页面加入 Snowball 视觉元素。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税收设置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平台地址、买入税、卖出税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默认15%进入平台地址，高级参数可以折叠，避免页面太乱。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普通白名单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多地址输入、批量添加、批量删除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给项目方和加池相关钱包使用。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限购版名单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地址、额度、钱包上限、限购份数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给用户限购阶段使用。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开盘管理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加池状态、交易状态、手动开盘按钮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开盘前提示先加池，减少误操作。</w:t>
            </w:r>
          </w:p>
        </w:tc>
      </w:tr>
      <w:tr>
        <w:tc>
          <w:tcPr>
            <w:tcW w:type="dxa" w:w="1800"/>
          </w:tcPr>
          <w:p>
            <w:r>
              <w:t>营销设置</w:t>
            </w:r>
          </w:p>
        </w:tc>
        <w:tc>
          <w:tcPr>
            <w:tcW w:type="dxa" w:w="3300"/>
          </w:tcPr>
          <w:p>
            <w:r>
              <w:t>营销地址、营销税展示、收款状态</w:t>
            </w:r>
          </w:p>
        </w:tc>
        <w:tc>
          <w:tcPr>
            <w:tcW w:type="dxa" w:w="4260"/>
          </w:tcPr>
          <w:p>
            <w:r>
              <w:t>给项目方配置营销地址，便于推广资金和运营资金归集。</w:t>
            </w:r>
          </w:p>
        </w:tc>
      </w:tr>
      <w:tr>
        <w:tc>
          <w:tcPr>
            <w:tcW w:type="dxa" w:w="1800"/>
          </w:tcPr>
          <w:p>
            <w:r>
              <w:t>自动开源</w:t>
            </w:r>
          </w:p>
        </w:tc>
        <w:tc>
          <w:tcPr>
            <w:tcW w:type="dxa" w:w="3300"/>
          </w:tcPr>
          <w:p>
            <w:r>
              <w:t>开源状态、验证结果、手动补开按钮</w:t>
            </w:r>
          </w:p>
        </w:tc>
        <w:tc>
          <w:tcPr>
            <w:tcW w:type="dxa" w:w="4260"/>
          </w:tcPr>
          <w:p>
            <w:r>
              <w:t>默认自动提交开源；接口延迟或失败时，保留手动补开源入口。</w:t>
            </w:r>
          </w:p>
        </w:tc>
      </w:tr>
      <w:tr>
        <w:tc>
          <w:tcPr>
            <w:tcW w:type="dxa" w:w="1800"/>
          </w:tcPr>
          <w:p>
            <w:r>
              <w:t>Snowball视觉</w:t>
            </w:r>
          </w:p>
        </w:tc>
        <w:tc>
          <w:tcPr>
            <w:tcW w:type="dxa" w:w="3300"/>
          </w:tcPr>
          <w:p>
            <w:r>
              <w:t>雪球、雪花、冰晶、冷色高光</w:t>
            </w:r>
          </w:p>
        </w:tc>
        <w:tc>
          <w:tcPr>
            <w:tcW w:type="dxa" w:w="4260"/>
          </w:tcPr>
          <w:p>
            <w:r>
              <w:t>增强发射台辨识度，但不影响创建流程的傻瓜式操作。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七、最终确认点</w:t>
      </w:r>
    </w:p>
    <w:p>
      <w:pPr>
        <w:pStyle w:val="ListBullet"/>
        <w:spacing w:before="0" w:after="80" w:line="300" w:lineRule="auto"/>
        <w:ind w:left="540" w:hanging="271"/>
      </w:pPr>
      <w:r>
        <w:t>所有通过平台创建的币，都自动带默认15%税收模板，并支持营销地址配置。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默认BNB底池，交易对使用Pancake WBNB。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创建费用为0.005 BNB。</w:t>
      </w:r>
    </w:p>
    <w:p>
      <w:pPr>
        <w:pStyle w:val="ListBullet"/>
        <w:spacing w:before="0" w:after="80" w:line="300" w:lineRule="auto"/>
        <w:ind w:left="540" w:hanging="271"/>
      </w:pPr>
      <w:r>
        <w:t>支持自动开源，开源接口延迟时可手动补开源。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普通白名单支持多个地址批量管理。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限购版名单是单独选项，只控制买入资格和额度。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创建者就是该代币管理员，不再把权限留给平台部署钱包。</w:t>
      </w:r>
    </w:p>
    <w:p>
      <w:pPr>
        <w:pStyle w:val="ListBullet"/>
        <w:spacing w:before="0" w:after="80" w:line="300" w:lineRule="auto"/>
        <w:ind w:left="540" w:hanging="271"/>
      </w:pPr>
      <w:r>
        <w:t>手动开盘保留，开盘前先完成加池、营销地址和参数检查。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多零直发持币分红V3 项目功能说明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