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Microsoft YaHei"/>
          <w:b/>
          <w:color w:val="0B2545"/>
          <w:sz w:val="48"/>
        </w:rPr>
        <w:t>杀0协议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color w:val="555555"/>
          <w:sz w:val="24"/>
        </w:rPr>
        <w:t>多零直发合约 / USDT持币分红 / 手动开盘 / 可加LP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定位：单独部署一个代币合约，不走复杂发射台流程。项目方创建后持有管理权限，先配置白名单和交易参数，再完成LP添加，最后手动开盘。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一、核心参数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杀0协议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合约类型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单独发行的多零代币合约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总供应量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21 后面 30 个 0（21 × 10^30）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靓号要求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Token 合约地址尾号 6 个 0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分红币种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USDT 持币分红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开盘方式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手动开盘：先加 LP，再由项目方开启交易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保留白名单权限；项目方提供地址后写入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LP重点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 30 个 0 级别供应量正常授权并加入 Pancake LP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二、手续费与资金机制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比例</w:t>
            </w:r>
          </w:p>
        </w:tc>
        <w:tc>
          <w:tcPr>
            <w:tcW w:type="dxa" w:w="566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持币分红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交易税进入分红池，按持币规则发放 USDT。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销毁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0.5%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交易时按比例进入销毁逻辑，减少流通压力。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回流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0.5%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用于流动性回流，增强池子深度。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3%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默认买卖同配置；如需买卖不同税率，可部署前调整。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三、玩法与操作流程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• </w:t>
      </w:r>
      <w:r>
        <w:rPr>
          <w:rFonts w:ascii="Calibri" w:hAnsi="Calibri" w:eastAsia="Microsoft YaHei"/>
          <w:color w:val="000000"/>
          <w:sz w:val="22"/>
        </w:rPr>
        <w:t>创建合约：部署“杀0协议”代币，供应量为 21 后面 30 个 0。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• </w:t>
      </w:r>
      <w:r>
        <w:rPr>
          <w:rFonts w:ascii="Calibri" w:hAnsi="Calibri" w:eastAsia="Microsoft YaHei"/>
          <w:color w:val="000000"/>
          <w:sz w:val="22"/>
        </w:rPr>
        <w:t>配置权限：项目方保留 Owner 权限，用于白名单、税率、分红、开盘等管理。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• </w:t>
      </w:r>
      <w:r>
        <w:rPr>
          <w:rFonts w:ascii="Calibri" w:hAnsi="Calibri" w:eastAsia="Microsoft YaHei"/>
          <w:color w:val="000000"/>
          <w:sz w:val="22"/>
        </w:rPr>
        <w:t>添加白名单：把项目方提供的钱包地址加入白名单，方便开盘前操作和测试。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• </w:t>
      </w:r>
      <w:r>
        <w:rPr>
          <w:rFonts w:ascii="Calibri" w:hAnsi="Calibri" w:eastAsia="Microsoft YaHei"/>
          <w:color w:val="000000"/>
          <w:sz w:val="22"/>
        </w:rPr>
        <w:t>添加 LP：按 30 个 0 总量逻辑授权 Token 并加入 Pancake LP，避免出现“能发不能加池”的问题。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• </w:t>
      </w:r>
      <w:r>
        <w:rPr>
          <w:rFonts w:ascii="Calibri" w:hAnsi="Calibri" w:eastAsia="Microsoft YaHei"/>
          <w:color w:val="000000"/>
          <w:sz w:val="22"/>
        </w:rPr>
        <w:t>手动开盘：LP 加好后，由项目方手动开启交易，减少误开盘风险。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四、白名单与安全控制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白名单用于开盘前的测试、加池、项目方地址管理和必要的权限放行。正式开盘前，建议只加入项目方、多签钱包、做市/加池钱包和必要测试地址。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项目方管理钱包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待填写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加池/做市钱包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待填写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测试白名单地址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待项目方提供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开盘权限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仅项目方或指定管理员可手动开启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五、最终确认点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• </w:t>
      </w:r>
      <w:r>
        <w:rPr>
          <w:rFonts w:ascii="Calibri" w:hAnsi="Calibri" w:eastAsia="Microsoft YaHei"/>
          <w:color w:val="000000"/>
          <w:sz w:val="22"/>
        </w:rPr>
        <w:t>合约必须支持 21 后面 30 个 0 的总量。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• </w:t>
      </w:r>
      <w:r>
        <w:rPr>
          <w:rFonts w:ascii="Calibri" w:hAnsi="Calibri" w:eastAsia="Microsoft YaHei"/>
          <w:color w:val="000000"/>
          <w:sz w:val="22"/>
        </w:rPr>
        <w:t>30 个 0 级别 Token 必须可以正常 Approve 和 Add LP。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• </w:t>
      </w:r>
      <w:r>
        <w:rPr>
          <w:rFonts w:ascii="Calibri" w:hAnsi="Calibri" w:eastAsia="Microsoft YaHei"/>
          <w:color w:val="000000"/>
          <w:sz w:val="22"/>
        </w:rPr>
        <w:t>持币分红使用 USDT，默认分红比例 2%。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• </w:t>
      </w:r>
      <w:r>
        <w:rPr>
          <w:rFonts w:ascii="Calibri" w:hAnsi="Calibri" w:eastAsia="Microsoft YaHei"/>
          <w:color w:val="000000"/>
          <w:sz w:val="22"/>
        </w:rPr>
        <w:t>销毁 0.5%，回流 0.5%，整体机制简单清楚。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2E74B5"/>
          <w:sz w:val="22"/>
        </w:rPr>
        <w:t xml:space="preserve">• </w:t>
      </w:r>
      <w:r>
        <w:rPr>
          <w:rFonts w:ascii="Calibri" w:hAnsi="Calibri" w:eastAsia="Microsoft YaHei"/>
          <w:color w:val="000000"/>
          <w:sz w:val="22"/>
        </w:rPr>
        <w:t>靓号地址尾号 6 个 0，白名单和手动开盘权限保留。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杀0协议 项目功能说明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