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Calibri" w:hAnsi="Calibri" w:eastAsia="Microsoft YaHei"/>
          <w:b/>
          <w:color w:val="0B2545"/>
          <w:sz w:val="48"/>
        </w:rPr>
        <w:t>杀0协议</w:t>
      </w:r>
    </w:p>
    <w:p>
      <w:pPr>
        <w:spacing w:before="0" w:after="280" w:line="300" w:lineRule="auto"/>
      </w:pPr>
      <w:r>
        <w:rPr>
          <w:rFonts w:ascii="Calibri" w:hAnsi="Calibri" w:eastAsia="Microsoft YaHei"/>
          <w:b w:val="0"/>
          <w:color w:val="555555"/>
          <w:sz w:val="24"/>
        </w:rPr>
        <w:t>多零直发代币 / USDT持币分红 / 手动开盘 / 支持30个零加LP</w:t>
      </w:r>
    </w:p>
    <w:p>
      <w:pPr>
        <w:spacing w:before="0" w:after="20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定位：单独发行一个多零代币合约，不走复杂发射台认购流程。项目方先部署合约，再配置白名单、税收、分红和开盘参数，完成LP后手动开盘。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一、核心参数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项目名称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杀0协议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合约类型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单独发行的多零代币合约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总供应量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21 后面 30 个 0，即 21 x 10^30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小数位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 位小数，链上按整数数量计算，适合多零直发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靓号要求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Token 合约地址尾号 6 个 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分红币种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USDT 持币分红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开盘方式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手动开盘：先加LP，再由项目方开启交易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白名单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保留白名单权限，方便开盘前加池、测试和项目方操作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LP重点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 30 个 0 级别供应量正常授权并加入 Pancake LP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二、税收机制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默认买卖税按 23% 设计，其中 20% 为项目/营销税，2% 为USDT持币分红，0.5% 销毁，0.5% 回流加池。链上税收无法真正隐藏，源码和交易记录都能查到；本方案按“项目税直达钱包”的方式设计，前端展示可以简化。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比例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项目/营销税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20%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交易触发后进入指定项目钱包，做成直接到账逻辑。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持币分红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进入分红逻辑，按持币规则发放USDT。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销毁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0.5%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进入销毁逻辑，减少流通压力。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回流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0.5%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用于自动回流加池，增强池子深度。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23%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默认买卖同税率；如需买卖不同，可部署前调整。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三、到账和触发方式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20%项目/营销税：新版合约按直达钱包设计，交易发生并满足合约处理条件后转入指定地址。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2%持币分红：进入分红池，达到处理条件后按持币比例分发USDT。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0.5%销毁：按交易税逻辑进入销毁流程。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0.5%回流：用于加池回流，不是用户手动转账。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如果采用原参考合约逻辑，税会先进入合约，卖出时再触发自动处理；如果要“直接到账”，需要使用改过的新版合约。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四、参考合约方向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参考合约A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0xdbb64ec2a453a612d0cc5001b6f15b0200000000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参考重点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0位小数、多零总量、买卖税、持币分红、白名单、手动开盘、自动处理。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参考合约B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0x2765e179b2a0bc0828ad83f3570ebd62b9e00000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参考重点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靓号尾号方案；客户反馈该方向偏向15个0加LP，主方案仍按A的30个0能力处理。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五、玩法流程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部署杀0协议代币，供应量设置为 21 后面 30 个 0。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把项目方、加池钱包、测试钱包加入白名单。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配置USDT分红、项目税钱包、销毁和回流参数。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授权Token并添加Pancake LP，确认30个零数量可以正常进池。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LP完成后手动开盘，正式开放买卖。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六、需要保留的权限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白名单权限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保留，用于开盘前配置、测试和特殊地址放行。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手动开盘权限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保留，LP完成后由项目方开启交易。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税收钱包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部署前设置项目/营销税收款地址。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分红设置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保留USDT分红参数，方便后续调整最低持币和处理阈值。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空投裂变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默认关闭，避免出现底部白、额外Gas和用户误解。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七、最终确认点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合约必须支持 21 后面 30 个 0 的总量。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30个零数量必须可以正常Approve和Add LP。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项目/营销税20%要做成直达指定钱包，不再只停留在合约余额里。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持币分红使用USDT，默认比例2%。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销毁0.5%，回流0.5%，整体机制保持简单。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保留白名单和手动开盘，空投裂变默认关闭。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杀0协议 项目功能说明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