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杀0协议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多零直发代币 / USDT持币分红 / 手动开盘 / 支持30个零加LP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定位：单独发行一个多零代币合约，不走复杂发射台认购流程。项目方先部署合约，再配置白名单、税收、分红和开盘参数，完成LP后手动开盘。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一、核心参数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杀0协议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合约类型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单独发行的多零代币合约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总供应量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21 后面 30 个 0，即 21 x 10^30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 位小数，链上按整数数量计算，适合多零直发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靓号要求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Token 合约地址尾号 6 个 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分红币种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USDT 持币分红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手动开盘：先加LP，再由项目方开启交易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保留白名单权限，方便开盘前加池、测试和项目方操作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LP重点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 30 个 0 级别供应量正常授权并加入 Pancake LP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二、税收机制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默认买卖总税按 3% 设计。项目/营销钱包拿的是所有税收的 20%，不是交易额的 20%；换算后为交易额的 0.6%，按直达钱包逻辑进入指定地址。其余税收按合约配置执行，其中销毁 0.5%，回流 0.5%；回流用于加池，产生的 LP 进入黑洞地址，避免后续被取回。链上税收无法真正隐藏，源码和交易记录都能查到；前端展示可以简化。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比例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默认总税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3%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买入和卖出默认按3%总税收计算；如需不同税率，可部署前调整。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项目/营销钱包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税收的20% / 交易额0.6%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不是额外20%税，而是默认3%税收里的20%，交易触发后直达指定钱包。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剩余税收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税收的80% / 交易额2.4%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按合约配置继续进入持币分红、销毁、回流等逻辑。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按交易税逻辑进入销毁流程，减少流通压力。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用于自动回流加池，回流产生的 LP 进入黑洞地址。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剩余配置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剩余部分进入分红逻辑，按持币规则发放USDT。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三、到账和触发方式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项目/营销钱包：拿默认总税收的20%，默认总税3%时等于交易额0.6%，交易触发后直达指定地址。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剩余税收：默认占总税收80%，即交易额2.4%，继续按合约配置进入分红、销毁、回流。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销毁：默认0.5%，按交易税逻辑进入销毁流程，减少流通压力。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回流：默认0.5%，用于自动回流加池；回流产生的LP进入黑洞地址，不进项目方钱包。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持币分红：剩余部分进入分红池，达到处理条件后按持币比例分发USDT。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如果采用原参考合约逻辑，税会先进入合约，卖出时再触发自动处理；如果要“直接到账”，需要使用改过的新版合约。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四、参考合约方向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参考合约A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0xdbb64ec2a453a612d0cc5001b6f15b0200000000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0位小数、多零总量、买卖税、持币分红、白名单、手动开盘、自动处理。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参考合约B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0x2765e179b2a0bc0828ad83f3570ebd62b9e00000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靓号尾号方案；客户反馈该方向偏向15个0加LP，主方案仍按A的30个0能力处理。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五、玩法流程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部署杀0协议代币，供应量设置为 21 后面 30 个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把项目方、加池钱包、测试钱包加入白名单。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配置USDT分红、项目税钱包、销毁和回流参数。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授权Token并添加Pancake LP，确认30个零数量可以正常进池。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LP完成后手动开盘，正式开放买卖。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六、需要保留的权限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白名单权限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保留，用于开盘前配置、测试和特殊地址放行。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手动开盘权限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保留，LP完成后由项目方开启交易。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税收钱包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部署前设置项目/营销税收款地址。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分红设置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保留USDT分红参数，方便后续调整最低持币和处理阈值。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空投裂变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默认3，用于基础空投裂变展示和转账扩散；后续可根据Gas和项目需求调整。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合约必须支持 21 后面 30 个 0 的总量。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30个零数量必须可以正常Approve和Add LP。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项目/营销钱包拿默认总税收的20%，默认总税3%时实际为交易额0.6%，并做成直达指定钱包。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销毁默认0.5%，回流默认0.5%，回流加池产生的LP进入黑洞地址。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持币分红使用USDT，剩余税收按分红和其他配置执行。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默认总税、分红、销毁、回流、黑洞地址等参数需部署前确认。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保留白名单和手动开盘，空投裂变默认3个地址。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杀0协议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