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杀0协议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多零直发代币 / USDT持币分红 / 手动开盘 / 支持30个零加LP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定位：单独发行一个多零代币合约，不走复杂发射台认购流程。项目方先部署合约，再配置白名单、税收、分红和开盘参数，完成LP后手动开盘。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一、核心参数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杀0协议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合约类型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单独发行的多零代币合约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总供应量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21 后面 30 个 0，即 21 x 10^30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 位小数，链上按整数数量计算，适合多零直发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靓号要求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Token 合约地址尾号 6 个 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分红币种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USDT 持币分红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手动开盘：先加LP，再由项目方开启交易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保留白名单权限，方便开盘前加池、测试和项目方操作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LP重点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 30 个 0 级别供应量正常授权并加入 Pancake LP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二、税收机制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默认买卖总税按 3% 设计。项目/营销钱包拿的是所有税收的 20%，不是交易额的 20%；换算后为交易额的 0.6%，按直达钱包逻辑进入指定地址。剩余 80% 税收继续按合约配置用于持币分红、销毁和回流加池。链上税收无法真正隐藏，源码和交易记录都能查到；前端展示可以简化。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比例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默认总税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买入和卖出默认按3%总税收计算；如需不同税率，可部署前调整。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项目/营销钱包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税收的20% / 交易额0.6%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不是额外20%税，而是默认3%税收里的20%，交易触发后直达指定钱包。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剩余税收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税收的80% / 交易额2.4%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按合约配置继续进入持币分红、销毁、回流等逻辑。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配置项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进入分红逻辑，按持币规则发放USDT。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 / 回流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配置项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用于销毁和自动回流加池，增强机制完整性。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三、到账和触发方式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项目/营销钱包：拿默认总税收的20%，默认总税3%时等于交易额0.6%，交易触发后直达指定地址。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剩余税收：默认占总税收80%，即交易额2.4%，继续按合约配置进入分红、销毁、回流。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持币分红：进入分红池，达到处理条件后按持币比例分发USDT。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销毁 / 回流：按交易税配置进入对应流程，回流用于加池，不是用户手动转账。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如果采用原参考合约逻辑，税会先进入合约，卖出时再触发自动处理；如果要“直接到账”，需要使用改过的新版合约。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四、参考合约方向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参考合约A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0xdbb64ec2a453a612d0cc5001b6f15b0200000000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0位小数、多零总量、买卖税、持币分红、白名单、手动开盘、自动处理。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参考合约B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0x2765e179b2a0bc0828ad83f3570ebd62b9e00000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靓号尾号方案；客户反馈该方向偏向15个0加LP，主方案仍按A的30个0能力处理。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五、玩法流程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部署杀0协议代币，供应量设置为 21 后面 30 个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把项目方、加池钱包、测试钱包加入白名单。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配置USDT分红、项目税钱包、销毁和回流参数。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授权Token并添加Pancake LP，确认30个零数量可以正常进池。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LP完成后手动开盘，正式开放买卖。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六、需要保留的权限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白名单权限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保留，用于开盘前配置、测试和特殊地址放行。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手动开盘权限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保留，LP完成后由项目方开启交易。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税收钱包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部署前设置项目/营销税收款地址。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分红设置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保留USDT分红参数，方便后续调整最低持币和处理阈值。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空投裂变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默认3，用于基础空投裂变展示和转账扩散；后续可根据Gas和项目需求调整。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合约必须支持 21 后面 30 个 0 的总量。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30个零数量必须可以正常Approve和Add LP。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项目/营销钱包拿默认总税收的20%，默认总税3%时实际为交易额0.6%，并做成直达指定钱包。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持币分红使用USDT，销毁和回流按剩余税收配置执行。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默认总税、分红、销毁、回流等比例可部署前确认。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保留白名单和手动开盘，空投裂变默认3个地址。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杀0协议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