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Microsoft YaHei" w:hAnsi="Microsoft YaHei" w:eastAsia="Microsoft YaHei"/>
          <w:b/>
          <w:color w:val="1E1E1E"/>
          <w:sz w:val="44"/>
        </w:rPr>
        <w:t>神兽发射台合约功能与机制说明</w:t>
      </w:r>
    </w:p>
    <w:p>
      <w:pPr>
        <w:spacing w:before="0" w:after="240" w:line="264" w:lineRule="auto"/>
      </w:pPr>
      <w:r>
        <w:rPr>
          <w:rFonts w:ascii="Microsoft YaHei" w:hAnsi="Microsoft YaHei" w:eastAsia="Microsoft YaHei"/>
          <w:b w:val="0"/>
          <w:color w:val="5F5F5F"/>
          <w:sz w:val="24"/>
        </w:rPr>
        <w:t>面向项目方、运营方与部署前评审使用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E1E1E"/>
                <w:sz w:val="21"/>
              </w:rPr>
              <w:t>项目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E1E1E"/>
                <w:sz w:val="21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文档范围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说明当前合约已实现的功能、交易税池流转、发射认购、进化销毁、分红奖励和 DEX 自动机制。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代码版本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基于当前仓库 main 分支合约：RuyiBeastLaunchpad、RuyiBeastToken、RuyiBeastVault、RuyiBeastSaleVault。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适用阶段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测试网部署前、正式部署前、合作方沟通和运营说明。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8"/>
                <w:sz w:val="22"/>
              </w:rPr>
              <w:t>一句话概括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21"/>
              </w:rPr>
              <w:t>该项目是一套链上神兽 Token 发射系统：项目方创建神兽 Token，用户可认购或交易，交易税进入不同池子；灵气达到阈值后触发进化，合约自动执行销毁、分红，并开启灵符与本命号码奖励；项目方还可配置 DEX 回购和自动加池机制。</w:t>
            </w:r>
          </w:p>
        </w:tc>
      </w:tr>
    </w:tbl>
    <w:p>
      <w:pPr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1. 系统定位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神兽发射台不是单一 ERC20 合约，而是一组发射、认购、税池、奖励和 DEX 运营合约。核心目标是把“创建 Token、公开认购、交易税积累、进化销毁、持币分红、随机奖励、回购加池”做成同一套可运营流程。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1E1E1E"/>
          <w:sz w:val="22"/>
        </w:rPr>
        <w:t>项目方可以创建一只神兽 Token，并可选择直接创建或开启公开认购发射。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1E1E1E"/>
          <w:sz w:val="22"/>
        </w:rPr>
        <w:t>用户持有或交易神兽 Token 后，交易税会被合约拆分到进化池、幸运池、风险池、奖励池、平台金库等位置。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1E1E1E"/>
          <w:sz w:val="22"/>
        </w:rPr>
        <w:t>当灵气达到阈值后，任意人可触发进化；进化会释放销毁和分红，并打开新一轮奖励。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1E1E1E"/>
          <w:sz w:val="22"/>
        </w:rPr>
        <w:t>平台收取的是交易税中的一部分，而不是在买卖税之外额外加税。</w:t>
      </w:r>
    </w:p>
    <w:p>
      <w:pPr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2. 合约模块分工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5360"/>
        <w:gridCol w:w="210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E1E1E"/>
                <w:sz w:val="21"/>
              </w:rPr>
              <w:t>模块</w:t>
            </w:r>
          </w:p>
        </w:tc>
        <w:tc>
          <w:tcPr>
            <w:tcW w:type="dxa" w:w="5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E1E1E"/>
                <w:sz w:val="21"/>
              </w:rPr>
              <w:t>职责</w:t>
            </w:r>
          </w:p>
        </w:tc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E1E1E"/>
                <w:sz w:val="21"/>
              </w:rPr>
              <w:t>主要使用者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RuyiBeastLaunchpad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发射台入口，负责创建项目、部署 Token、登记项目、创建认购金库、转发奖励和 DEX 管理操作。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项目方、平台管理员、前端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RuyiBeastToken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神兽 ERC20 Token，负责买卖税、交易开关、灵气累计、进化、持币分红记账和领取。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持币用户、交易用户、项目方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RuyiBeastVault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税池金库，记录各类池子余额，处理进化销毁、分红释放、灵符奖励、本命号码奖励、DEX 回购和加池。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Launchpad、Token、平台管理员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RuyiBeastSaleVault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公开认购金库，负责认购、募集资金、结算开盘、取消发射和退款。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认购用户、项目方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RuyiBeastDeployers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拆分部署器，用于降低主合约体积并在创建项目时部署 Token / SaleVault。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部署脚本、Launchpad</w:t>
            </w:r>
          </w:p>
        </w:tc>
      </w:tr>
    </w:tbl>
    <w:p>
      <w:pPr>
        <w:spacing w:after="40"/>
      </w:pPr>
    </w:p>
    <w:p>
      <w:pPr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3. 创建与发射流程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2E74B5"/>
          <w:sz w:val="26"/>
        </w:rPr>
        <w:t>3.1 直接创建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1E1E1E"/>
          <w:sz w:val="22"/>
        </w:rPr>
        <w:t>项目方填写神兽名称、Token 名称、Token 符号、总供应量、进化阈值、神兽类型和头像元数据。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1E1E1E"/>
          <w:sz w:val="22"/>
        </w:rPr>
        <w:t>发射台收取创建费用，并部署一份新的神兽 Token。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1E1E1E"/>
          <w:sz w:val="22"/>
        </w:rPr>
        <w:t>如果不开启公开认购，初始供应量直接归创建者，后续由项目方自行配置交易对和运营节奏。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2E74B5"/>
          <w:sz w:val="26"/>
        </w:rPr>
        <w:t>3.2 公开认购发射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1E1E1E"/>
          <w:sz w:val="22"/>
        </w:rPr>
        <w:t>项目方创建时填写认购发射数量、认购单价、单钱包上限、认购截止时间和收款地址。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1E1E1E"/>
          <w:sz w:val="22"/>
        </w:rPr>
        <w:t>认购额度进入 SaleVault，用户支付 ETH/BNB 认购，Token 直接发到用户钱包。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1E1E1E"/>
          <w:sz w:val="22"/>
        </w:rPr>
        <w:t>认购售完，或到期后由项目方填写 DEX 交易对地址并确认开盘。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1E1E1E"/>
          <w:sz w:val="22"/>
        </w:rPr>
        <w:t>开盘时合约设置交易对、开启交易、锁定关键控制项，并把募集资金发送到收款地址。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1E1E1E"/>
          <w:sz w:val="22"/>
        </w:rPr>
        <w:t>如果到期未售完，项目方可以取消发射；用户退回认购 Token 后领取退款，全部退款完成后项目方可取回剩余 Token。</w:t>
      </w:r>
    </w:p>
    <w:p>
      <w:pPr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4. 交易税与资金流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默认买入税为 3%，默认卖出税为 5%。平台税收为已收交易税的 20%，不会额外增加用户看到的买卖税率。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800"/>
        <w:gridCol w:w="2300"/>
        <w:gridCol w:w="3660"/>
      </w:tblGrid>
      <w:tr>
        <w:trPr>
          <w:tblHeader w:val="true"/>
        </w:trP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E1E1E"/>
                <w:sz w:val="21"/>
              </w:rPr>
              <w:t>场景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E1E1E"/>
                <w:sz w:val="21"/>
              </w:rPr>
              <w:t>用户看到的税率</w:t>
            </w:r>
          </w:p>
        </w:tc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E1E1E"/>
                <w:sz w:val="21"/>
              </w:rPr>
              <w:t>平台税收</w:t>
            </w:r>
          </w:p>
        </w:tc>
        <w:tc>
          <w:tcPr>
            <w:tcW w:type="dxa" w:w="3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E1E1E"/>
                <w:sz w:val="21"/>
              </w:rPr>
              <w:t>项目侧池子分配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买入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3%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0.6% 进入平台金库/treasury 统计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2.4% 按默认权重进入进化池、幸运池、风险池、奖励池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卖出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5%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1.0% 进入平台金库/treasury 统计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4.0% 按默认权重进入进化池、幸运池、风险池、奖励池和 treasury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700"/>
        <w:gridCol w:w="47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E1E1E"/>
                <w:sz w:val="21"/>
              </w:rPr>
              <w:t>税池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E1E1E"/>
                <w:sz w:val="21"/>
              </w:rPr>
              <w:t>来源</w:t>
            </w:r>
          </w:p>
        </w:tc>
        <w:tc>
          <w:tcPr>
            <w:tcW w:type="dxa" w:w="4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E1E1E"/>
                <w:sz w:val="21"/>
              </w:rPr>
              <w:t>用途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进化池 evolution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买卖税中的进化份额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累积灵气，进化时按配置销毁一部分。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幸运池 fortune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买卖税中的幸运份额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用于灵符随机奖励。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风险池 risk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买卖税中的风险份额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用于本命号码中奖奖励。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奖励池 reward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买卖税中的奖励份额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进化时按配置释放为持币分红。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平台金库 treasury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平台税收及 treasury 份额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用于平台收入、手动提取、DEX 自动回购和加池。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销毁 burned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交易直接销毁或进化销毁统计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减少供应或记录历史销毁数据。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分红储备 dividendReserve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进化释放的奖励池金额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供持币用户按份额主动领取。</w:t>
            </w:r>
          </w:p>
        </w:tc>
      </w:tr>
    </w:tbl>
    <w:p>
      <w:pPr>
        <w:spacing w:after="40"/>
      </w:pPr>
    </w:p>
    <w:p>
      <w:pPr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5. 灵气、阶段与进化机制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神兽有五个阶段：神兽蛋、幼兽、成长期、觉醒、神兽。每次交易税进入进化池时，同步增加灵气值。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1E1E1E"/>
          <w:sz w:val="22"/>
        </w:rPr>
        <w:t>当灵气 aura 达到 auraThreshold 后，任意人可调用触发进化。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1E1E1E"/>
          <w:sz w:val="22"/>
        </w:rPr>
        <w:t>进化会消耗当前阈值对应的灵气，阶段提升一级。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1E1E1E"/>
          <w:sz w:val="22"/>
        </w:rPr>
        <w:t>下一阶段所需灵气阈值会提高到上一阈值的 150%。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1E1E1E"/>
          <w:sz w:val="22"/>
        </w:rPr>
        <w:t>默认进化处理为：进化池 50% 销毁，奖励池 50% 释放为持币分红。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1E1E1E"/>
          <w:sz w:val="22"/>
        </w:rPr>
        <w:t>每次进化都会开启一轮新的灵符奖励和本命号码奖励。</w:t>
      </w:r>
    </w:p>
    <w:p>
      <w:pPr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6. 分红奖励机制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分红采用持币份额记账模式。合约在释放分红时更新每份 Token 可分配的分红值，用户通过前端或合约主动领取。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1E1E1E"/>
          <w:sz w:val="22"/>
        </w:rPr>
        <w:t>Vault、Launchpad、死亡地址和合约自身会被排除在分红之外，避免系统地址参与分红。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1E1E1E"/>
          <w:sz w:val="22"/>
        </w:rPr>
        <w:t>用户可领取金额由持仓份额、历史分红累积和已领取金额共同计算。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1E1E1E"/>
          <w:sz w:val="22"/>
        </w:rPr>
        <w:t>领取时 Token 合约调用 Vault 支付对应 Token 给用户，并更新已领取记录。</w:t>
      </w:r>
    </w:p>
    <w:p>
      <w:pPr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7. 灵符与本命号码奖励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300"/>
        <w:gridCol w:w="1900"/>
        <w:gridCol w:w="32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E1E1E"/>
                <w:sz w:val="21"/>
              </w:rPr>
              <w:t>奖励项</w:t>
            </w:r>
          </w:p>
        </w:tc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E1E1E"/>
                <w:sz w:val="21"/>
              </w:rPr>
              <w:t>默认配置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E1E1E"/>
                <w:sz w:val="21"/>
              </w:rPr>
              <w:t>奖励来源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E1E1E"/>
                <w:sz w:val="21"/>
              </w:rPr>
              <w:t>领取逻辑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灵符随机奖励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中奖率 10%，单次奖励幸运池 10%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幸运池 fortune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每轮每个钱包只能结算一次，随机 roll 小于中奖率即中奖。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本命号码奖励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号码范围 0-9999，中奖奖励风险池 10%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风险池 risk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用户先绑定号码；开奖后号码匹配当轮中奖号码才可领取。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最低持仓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默认大于 0 即可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用户钱包持仓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项目方可调高最低持仓门槛。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8"/>
                <w:sz w:val="22"/>
              </w:rPr>
              <w:t>随机机制说明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E1E1E"/>
                <w:sz w:val="21"/>
              </w:rPr>
              <w:t>当前随机数基于链上区块信息、Token、用户地址、轮次和盐值组合生成，适合轻量游戏化奖励。若未来要做高金额开奖或强博彩属性活动，建议接入更强的可验证随机源，并重新评估合规风险。</w:t>
            </w:r>
          </w:p>
        </w:tc>
      </w:tr>
    </w:tbl>
    <w:p>
      <w:pPr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8. DEX 回购与自动加池机制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项目方可为每个神兽 Token 配置 DEX Router、交易对、配对 Token、LP 接收地址、回购接收地址、是否原生币交易对、是否回购后销毁，以及自动处理参数。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1E1E1E"/>
          <w:sz w:val="22"/>
        </w:rPr>
        <w:t>卖出交易发生后，Token 会尝试调用 Vault 的自动 DEX 处理。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1E1E1E"/>
          <w:sz w:val="22"/>
        </w:rPr>
        <w:t>只有在 DEX 已启用、Router 已配置、税池 treasury 达到触发阈值、自动比例不为 0 时才会执行。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1E1E1E"/>
          <w:sz w:val="22"/>
        </w:rPr>
        <w:t>自动处理会从 treasury 中取出一定 Token，按配置拆分为回购部分和加池部分。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1E1E1E"/>
          <w:sz w:val="22"/>
        </w:rPr>
        <w:t>原生币交易对会先把 Token 换成 ETH/BNB，再用于回购和加池；非原生币交易对则换成配对 Token。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1E1E1E"/>
          <w:sz w:val="22"/>
        </w:rPr>
        <w:t>回购得到的 Token 可以发送到销毁地址，也可以发送到指定回购接收地址。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1E1E1E"/>
          <w:sz w:val="22"/>
        </w:rPr>
        <w:t>加池得到的 LP 发送到项目方配置的 LP 接收地址。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1E1E1E"/>
          <w:sz w:val="22"/>
        </w:rPr>
        <w:t>如果 DEX 临时失败，卖出交易不会被卡死；合约会捕获失败，税池余额留待后续手动或自动处理。</w:t>
      </w:r>
    </w:p>
    <w:p>
      <w:pPr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9. 权限与安全设计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360"/>
        <w:gridCol w:w="290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E1E1E"/>
                <w:sz w:val="21"/>
              </w:rPr>
              <w:t>权限对象</w:t>
            </w:r>
          </w:p>
        </w:tc>
        <w:tc>
          <w:tcPr>
            <w:tcW w:type="dxa" w:w="4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E1E1E"/>
                <w:sz w:val="21"/>
              </w:rPr>
              <w:t>可操作内容</w:t>
            </w:r>
          </w:p>
        </w:tc>
        <w:tc>
          <w:tcPr>
            <w:tcW w:type="dxa" w:w="2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E1E1E"/>
                <w:sz w:val="21"/>
              </w:rPr>
              <w:t>设计目的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平台管理员 / Launchpad owner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设置创建费、平台收款地址、奖励参数、DEX 参数、自动机制、提现 treasury/运营池。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集中管理平台级配置和运营资金。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项目创建者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公开认购项目可结算开盘、取消发射、取回取消后剩余 Token。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保证项目方能完成发射生命周期。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Token owner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开盘前可配置交易对、税率、限额、分红排除等；开盘后关键控制项锁定。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上线前可配置，上线后降低随意改规则风险。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普通用户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认购、持币、领取分红、领取灵符、绑定/领取本命号码、触发进化。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E1E1E"/>
                <w:sz w:val="20"/>
              </w:rPr>
              <w:t>用户侧无需管理员权限即可参与核心玩法。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Microsoft YaHei" w:hAnsi="Microsoft YaHei" w:eastAsia="Microsoft YaHei"/>
          <w:b/>
          <w:color w:val="2E74B5"/>
          <w:sz w:val="26"/>
        </w:rPr>
        <w:t>上线前建议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1E1E1E"/>
          <w:sz w:val="22"/>
        </w:rPr>
        <w:t>先在测试网完成完整流程：部署、创建神兽、认购、开盘、交易、进化、分红、灵符、本命号码、DEX 自动处理。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1E1E1E"/>
          <w:sz w:val="22"/>
        </w:rPr>
        <w:t>正式部署前建议做第三方安全审计，尤其关注税池、DEX、随机奖励和权限提现逻辑。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1E1E1E"/>
          <w:sz w:val="22"/>
        </w:rPr>
        <w:t>上线前确认平台收款地址、RPC、创建费用、DEX Router、LP 接收地址和回购接收地址均填写正确。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1E1E1E"/>
          <w:sz w:val="22"/>
        </w:rPr>
        <w:t>正式宣传中应明确说明随机奖励来源和规则，避免把轻量随机机制包装成无风险或强保证收益。</w:t>
      </w:r>
    </w:p>
    <w:p>
      <w:pPr>
        <w:spacing w:before="320" w:after="160"/>
      </w:pPr>
      <w:r>
        <w:rPr>
          <w:rFonts w:ascii="Microsoft YaHei" w:hAnsi="Microsoft YaHei" w:eastAsia="Microsoft YaHei"/>
          <w:b/>
          <w:color w:val="2E74B5"/>
          <w:sz w:val="32"/>
        </w:rPr>
        <w:t>10. 当前完成度结论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1E1E1E"/>
          <w:sz w:val="22"/>
        </w:rPr>
        <w:t>当前合约已经覆盖神兽创建、公开认购、开盘锁定、交易税池、20% 平台税收、进化销毁、持币分红、灵符随机奖励、本命号码奖励、DEX 配置、自动回购、自动加池、取消发射和退款等核心功能。前端也已经接入真实合约调用，不再是模拟功能。下一步可以先部署测试网进行端到端演练，再部署正式链。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F5F5F"/>
        <w:sz w:val="18"/>
      </w:rPr>
      <w:t>仅作项目机制与部署说明，正式上线前建议完成审计与测试网演练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F5F5F"/>
        <w:sz w:val="18"/>
      </w:rPr>
      <w:t>神兽发射台合约机制说明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