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0442EE" w:rsidP="00EA71BD">
      <w:pPr>
        <w:bidi/>
        <w:jc w:val="center"/>
        <w:rPr>
          <w:sz w:val="52"/>
          <w:szCs w:val="52"/>
          <w:rtl/>
        </w:rPr>
      </w:pPr>
      <w:hyperlink r:id="rId8"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rsidR="00573319" w:rsidRPr="00573319" w:rsidRDefault="009132A2" w:rsidP="00EA71BD">
      <w:pPr>
        <w:bidi/>
        <w:jc w:val="center"/>
        <w:rPr>
          <w:sz w:val="52"/>
          <w:szCs w:val="52"/>
          <w:rtl/>
        </w:rPr>
      </w:pPr>
      <w:r>
        <w:rPr>
          <w:rFonts w:hint="cs"/>
          <w:sz w:val="52"/>
          <w:szCs w:val="52"/>
          <w:rtl/>
        </w:rPr>
        <w:t>301695490</w:t>
      </w:r>
    </w:p>
    <w:p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542262" w:rsidRDefault="00343C28" w:rsidP="00A43C3F">
      <w:pPr>
        <w:pStyle w:val="1"/>
        <w:bidi/>
        <w:rPr>
          <w:b/>
          <w:bCs/>
          <w:rtl/>
        </w:rPr>
      </w:pPr>
      <w:r w:rsidRPr="00343C28">
        <w:rPr>
          <w:rFonts w:hint="cs"/>
          <w:b/>
          <w:bCs/>
          <w:rtl/>
        </w:rPr>
        <w:lastRenderedPageBreak/>
        <w:t>חלק א'</w:t>
      </w:r>
    </w:p>
    <w:p w:rsidR="00A43C3F" w:rsidRDefault="00A43C3F" w:rsidP="00542262">
      <w:pPr>
        <w:pStyle w:val="1"/>
        <w:bidi/>
        <w:rPr>
          <w:rtl/>
        </w:rPr>
      </w:pPr>
      <w:r>
        <w:rPr>
          <w:rFonts w:hint="cs"/>
          <w:rtl/>
        </w:rPr>
        <w:t>סעיף 1:</w:t>
      </w:r>
    </w:p>
    <w:tbl>
      <w:tblPr>
        <w:tblStyle w:val="a5"/>
        <w:tblpPr w:leftFromText="180" w:rightFromText="180" w:vertAnchor="text" w:horzAnchor="margin" w:tblpXSpec="center" w:tblpY="818"/>
        <w:bidiVisual/>
        <w:tblW w:w="0" w:type="auto"/>
        <w:tblLook w:val="04A0" w:firstRow="1" w:lastRow="0" w:firstColumn="1" w:lastColumn="0" w:noHBand="0" w:noVBand="1"/>
      </w:tblPr>
      <w:tblGrid>
        <w:gridCol w:w="3152"/>
        <w:gridCol w:w="3152"/>
        <w:gridCol w:w="1357"/>
      </w:tblGrid>
      <w:tr w:rsidR="00D222C3" w:rsidTr="00D222C3">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עם אילוץ דלק</w:t>
            </w:r>
          </w:p>
          <w:p w:rsidR="00D222C3" w:rsidRPr="00D222C3" w:rsidRDefault="000442EE" w:rsidP="00D222C3">
            <m:oMathPara>
              <m:oMath>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l</m:t>
                    </m:r>
                  </m:e>
                  <m:sup>
                    <m:r>
                      <w:rPr>
                        <w:rFonts w:ascii="Cambria Math" w:hAnsi="Cambria Math"/>
                      </w:rPr>
                      <m:t>k-1</m:t>
                    </m:r>
                  </m:sup>
                </m:sSup>
              </m:oMath>
            </m:oMathPara>
          </w:p>
        </w:tc>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ללא אילוץ דלק</w:t>
            </w:r>
          </w:p>
          <w:p w:rsidR="00D222C3" w:rsidRPr="00D222C3" w:rsidRDefault="00D222C3" w:rsidP="00D222C3">
            <w:pPr>
              <w:rPr>
                <w:rtl/>
              </w:rPr>
            </w:pPr>
            <m:oMathPara>
              <m:oMath>
                <m:r>
                  <w:rPr>
                    <w:rFonts w:ascii="Cambria Math" w:hAnsi="Cambria Math"/>
                  </w:rPr>
                  <m:t>k!</m:t>
                </m:r>
              </m:oMath>
            </m:oMathPara>
          </w:p>
        </w:tc>
        <w:tc>
          <w:tcPr>
            <w:tcW w:w="1357" w:type="dxa"/>
            <w:shd w:val="clear" w:color="auto" w:fill="AEAAAA" w:themeFill="background2" w:themeFillShade="BF"/>
          </w:tcPr>
          <w:p w:rsidR="00D222C3" w:rsidRPr="00573319" w:rsidRDefault="00D222C3" w:rsidP="00D222C3">
            <w:pPr>
              <w:pStyle w:val="MTDisplayEquation"/>
              <w:numPr>
                <w:ilvl w:val="0"/>
                <w:numId w:val="0"/>
              </w:numPr>
              <w:jc w:val="center"/>
              <w:rPr>
                <w:b/>
                <w:bCs/>
                <w:rtl/>
              </w:rPr>
            </w:pPr>
            <w:r w:rsidRPr="00573319">
              <w:rPr>
                <w:b/>
                <w:bCs/>
              </w:rPr>
              <w:t>K</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w:t>
            </w:r>
          </w:p>
        </w:tc>
        <w:tc>
          <w:tcPr>
            <w:tcW w:w="3152" w:type="dxa"/>
          </w:tcPr>
          <w:p w:rsidR="00D222C3" w:rsidRDefault="00027C4C" w:rsidP="00597C86">
            <w:pPr>
              <w:pStyle w:val="MTDisplayEquation"/>
              <w:numPr>
                <w:ilvl w:val="0"/>
                <w:numId w:val="0"/>
              </w:numPr>
              <w:jc w:val="center"/>
              <w:rPr>
                <w:rtl/>
              </w:rPr>
            </w:pPr>
            <w:r>
              <w:t>1</w:t>
            </w:r>
          </w:p>
        </w:tc>
        <w:tc>
          <w:tcPr>
            <w:tcW w:w="1357" w:type="dxa"/>
          </w:tcPr>
          <w:p w:rsidR="00D222C3" w:rsidRDefault="00D222C3" w:rsidP="00597C86">
            <w:pPr>
              <w:pStyle w:val="MTDisplayEquation"/>
              <w:numPr>
                <w:ilvl w:val="0"/>
                <w:numId w:val="0"/>
              </w:numPr>
              <w:jc w:val="center"/>
              <w:rPr>
                <w:rtl/>
              </w:rPr>
            </w:pPr>
            <w:r>
              <w:t>1</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10</w:t>
            </w:r>
          </w:p>
        </w:tc>
        <w:tc>
          <w:tcPr>
            <w:tcW w:w="3152" w:type="dxa"/>
          </w:tcPr>
          <w:p w:rsidR="00D222C3" w:rsidRDefault="00027C4C" w:rsidP="00597C86">
            <w:pPr>
              <w:pStyle w:val="MTDisplayEquation"/>
              <w:numPr>
                <w:ilvl w:val="0"/>
                <w:numId w:val="0"/>
              </w:numPr>
              <w:jc w:val="center"/>
              <w:rPr>
                <w:rtl/>
              </w:rPr>
            </w:pPr>
            <w:r>
              <w:t>2</w:t>
            </w:r>
          </w:p>
        </w:tc>
        <w:tc>
          <w:tcPr>
            <w:tcW w:w="1357" w:type="dxa"/>
          </w:tcPr>
          <w:p w:rsidR="00D222C3" w:rsidRDefault="00D222C3" w:rsidP="00597C86">
            <w:pPr>
              <w:pStyle w:val="MTDisplayEquation"/>
              <w:numPr>
                <w:ilvl w:val="0"/>
                <w:numId w:val="0"/>
              </w:numPr>
              <w:jc w:val="center"/>
              <w:rPr>
                <w:rtl/>
              </w:rPr>
            </w:pPr>
            <w:r>
              <w:t>2</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150</w:t>
            </w:r>
          </w:p>
        </w:tc>
        <w:tc>
          <w:tcPr>
            <w:tcW w:w="3152" w:type="dxa"/>
          </w:tcPr>
          <w:p w:rsidR="00D222C3" w:rsidRDefault="00027C4C" w:rsidP="00597C86">
            <w:pPr>
              <w:pStyle w:val="MTDisplayEquation"/>
              <w:numPr>
                <w:ilvl w:val="0"/>
                <w:numId w:val="0"/>
              </w:numPr>
              <w:jc w:val="center"/>
              <w:rPr>
                <w:rtl/>
              </w:rPr>
            </w:pPr>
            <w:r>
              <w:t>6</w:t>
            </w:r>
          </w:p>
        </w:tc>
        <w:tc>
          <w:tcPr>
            <w:tcW w:w="1357" w:type="dxa"/>
          </w:tcPr>
          <w:p w:rsidR="00D222C3" w:rsidRDefault="00D222C3" w:rsidP="00597C86">
            <w:pPr>
              <w:pStyle w:val="MTDisplayEquation"/>
              <w:numPr>
                <w:ilvl w:val="0"/>
                <w:numId w:val="0"/>
              </w:numPr>
              <w:jc w:val="center"/>
              <w:rPr>
                <w:rtl/>
              </w:rPr>
            </w:pPr>
            <w:r>
              <w:t>3</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3000</w:t>
            </w:r>
          </w:p>
        </w:tc>
        <w:tc>
          <w:tcPr>
            <w:tcW w:w="3152" w:type="dxa"/>
          </w:tcPr>
          <w:p w:rsidR="00D222C3" w:rsidRDefault="00027C4C" w:rsidP="00597C86">
            <w:pPr>
              <w:pStyle w:val="MTDisplayEquation"/>
              <w:numPr>
                <w:ilvl w:val="0"/>
                <w:numId w:val="0"/>
              </w:numPr>
              <w:jc w:val="center"/>
              <w:rPr>
                <w:rtl/>
              </w:rPr>
            </w:pPr>
            <w:r>
              <w:t>24</w:t>
            </w:r>
          </w:p>
        </w:tc>
        <w:tc>
          <w:tcPr>
            <w:tcW w:w="1357" w:type="dxa"/>
          </w:tcPr>
          <w:p w:rsidR="00D222C3" w:rsidRDefault="00D222C3" w:rsidP="00597C86">
            <w:pPr>
              <w:pStyle w:val="MTDisplayEquation"/>
              <w:numPr>
                <w:ilvl w:val="0"/>
                <w:numId w:val="0"/>
              </w:numPr>
              <w:jc w:val="center"/>
              <w:rPr>
                <w:rtl/>
              </w:rPr>
            </w:pPr>
            <w:r>
              <w:t>4</w:t>
            </w:r>
          </w:p>
        </w:tc>
      </w:tr>
      <w:tr w:rsidR="00D222C3" w:rsidTr="00D222C3">
        <w:tc>
          <w:tcPr>
            <w:tcW w:w="3152" w:type="dxa"/>
          </w:tcPr>
          <w:p w:rsidR="00D222C3" w:rsidRPr="00573319" w:rsidRDefault="00597C86" w:rsidP="00597C86">
            <w:pPr>
              <w:jc w:val="center"/>
              <w:rPr>
                <w:rFonts w:cs="Arial"/>
                <w:rtl/>
              </w:rPr>
            </w:pPr>
            <w:r w:rsidRPr="00597C86">
              <w:rPr>
                <w:rFonts w:cs="Arial"/>
                <w:rtl/>
              </w:rPr>
              <w:t>75000</w:t>
            </w:r>
          </w:p>
        </w:tc>
        <w:tc>
          <w:tcPr>
            <w:tcW w:w="3152" w:type="dxa"/>
          </w:tcPr>
          <w:p w:rsidR="00D222C3" w:rsidRDefault="00027C4C" w:rsidP="00597C86">
            <w:pPr>
              <w:pStyle w:val="MTDisplayEquation"/>
              <w:numPr>
                <w:ilvl w:val="0"/>
                <w:numId w:val="0"/>
              </w:numPr>
              <w:jc w:val="center"/>
              <w:rPr>
                <w:rtl/>
              </w:rPr>
            </w:pPr>
            <w:r>
              <w:t>120</w:t>
            </w:r>
          </w:p>
        </w:tc>
        <w:tc>
          <w:tcPr>
            <w:tcW w:w="1357" w:type="dxa"/>
          </w:tcPr>
          <w:p w:rsidR="00D222C3" w:rsidRDefault="00D222C3" w:rsidP="00597C86">
            <w:pPr>
              <w:pStyle w:val="MTDisplayEquation"/>
              <w:numPr>
                <w:ilvl w:val="0"/>
                <w:numId w:val="0"/>
              </w:numPr>
              <w:jc w:val="center"/>
              <w:rPr>
                <w:rtl/>
              </w:rPr>
            </w:pPr>
            <w:r>
              <w:t>5</w:t>
            </w:r>
          </w:p>
        </w:tc>
      </w:tr>
      <w:tr w:rsidR="00D222C3" w:rsidTr="00D222C3">
        <w:tc>
          <w:tcPr>
            <w:tcW w:w="3152" w:type="dxa"/>
          </w:tcPr>
          <w:p w:rsidR="00D222C3" w:rsidRPr="00573319" w:rsidRDefault="00597C86" w:rsidP="00597C86">
            <w:pPr>
              <w:jc w:val="center"/>
              <w:rPr>
                <w:rFonts w:cs="Arial"/>
                <w:rtl/>
              </w:rPr>
            </w:pPr>
            <w:r w:rsidRPr="00597C86">
              <w:rPr>
                <w:rFonts w:cs="Arial"/>
                <w:rtl/>
              </w:rPr>
              <w:t>2250000</w:t>
            </w:r>
          </w:p>
        </w:tc>
        <w:tc>
          <w:tcPr>
            <w:tcW w:w="3152" w:type="dxa"/>
          </w:tcPr>
          <w:p w:rsidR="00D222C3" w:rsidRDefault="00027C4C" w:rsidP="00597C86">
            <w:pPr>
              <w:pStyle w:val="MTDisplayEquation"/>
              <w:numPr>
                <w:ilvl w:val="0"/>
                <w:numId w:val="0"/>
              </w:numPr>
              <w:jc w:val="center"/>
              <w:rPr>
                <w:rtl/>
              </w:rPr>
            </w:pPr>
            <w:r>
              <w:t>720</w:t>
            </w:r>
          </w:p>
        </w:tc>
        <w:tc>
          <w:tcPr>
            <w:tcW w:w="1357" w:type="dxa"/>
          </w:tcPr>
          <w:p w:rsidR="00D222C3" w:rsidRDefault="00D222C3" w:rsidP="00597C86">
            <w:pPr>
              <w:pStyle w:val="MTDisplayEquation"/>
              <w:numPr>
                <w:ilvl w:val="0"/>
                <w:numId w:val="0"/>
              </w:numPr>
              <w:jc w:val="center"/>
              <w:rPr>
                <w:rtl/>
              </w:rPr>
            </w:pPr>
            <w:r>
              <w:t>6</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78750000</w:t>
            </w:r>
          </w:p>
        </w:tc>
        <w:tc>
          <w:tcPr>
            <w:tcW w:w="3152" w:type="dxa"/>
          </w:tcPr>
          <w:p w:rsidR="00D222C3" w:rsidRDefault="00597C86" w:rsidP="00597C86">
            <w:pPr>
              <w:pStyle w:val="MTDisplayEquation"/>
              <w:numPr>
                <w:ilvl w:val="0"/>
                <w:numId w:val="0"/>
              </w:numPr>
              <w:jc w:val="center"/>
              <w:rPr>
                <w:rtl/>
              </w:rPr>
            </w:pPr>
            <w:r>
              <w:t>5040</w:t>
            </w:r>
          </w:p>
        </w:tc>
        <w:tc>
          <w:tcPr>
            <w:tcW w:w="1357" w:type="dxa"/>
          </w:tcPr>
          <w:p w:rsidR="00D222C3" w:rsidRDefault="00D222C3" w:rsidP="00597C86">
            <w:pPr>
              <w:pStyle w:val="MTDisplayEquation"/>
              <w:numPr>
                <w:ilvl w:val="0"/>
                <w:numId w:val="0"/>
              </w:numPr>
              <w:jc w:val="center"/>
              <w:rPr>
                <w:rtl/>
              </w:rPr>
            </w:pPr>
            <w:r>
              <w:t>7</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3150000000</w:t>
            </w:r>
          </w:p>
        </w:tc>
        <w:tc>
          <w:tcPr>
            <w:tcW w:w="3152" w:type="dxa"/>
          </w:tcPr>
          <w:p w:rsidR="00D222C3" w:rsidRDefault="00597C86" w:rsidP="00597C86">
            <w:pPr>
              <w:pStyle w:val="MTDisplayEquation"/>
              <w:numPr>
                <w:ilvl w:val="0"/>
                <w:numId w:val="0"/>
              </w:numPr>
              <w:jc w:val="center"/>
              <w:rPr>
                <w:rtl/>
              </w:rPr>
            </w:pPr>
            <w:r w:rsidRPr="00597C86">
              <w:rPr>
                <w:rFonts w:cs="Arial"/>
                <w:rtl/>
              </w:rPr>
              <w:t>40320</w:t>
            </w:r>
          </w:p>
        </w:tc>
        <w:tc>
          <w:tcPr>
            <w:tcW w:w="1357" w:type="dxa"/>
          </w:tcPr>
          <w:p w:rsidR="00D222C3" w:rsidRDefault="00D222C3" w:rsidP="00597C86">
            <w:pPr>
              <w:pStyle w:val="MTDisplayEquation"/>
              <w:numPr>
                <w:ilvl w:val="0"/>
                <w:numId w:val="0"/>
              </w:numPr>
              <w:jc w:val="center"/>
              <w:rPr>
                <w:rtl/>
              </w:rPr>
            </w:pPr>
            <w:r>
              <w:t>8</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141750000000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w:t>
            </w:r>
          </w:p>
        </w:tc>
        <w:tc>
          <w:tcPr>
            <w:tcW w:w="1357" w:type="dxa"/>
          </w:tcPr>
          <w:p w:rsidR="00D222C3" w:rsidRDefault="00D222C3" w:rsidP="00597C86">
            <w:pPr>
              <w:pStyle w:val="MTDisplayEquation"/>
              <w:numPr>
                <w:ilvl w:val="0"/>
                <w:numId w:val="0"/>
              </w:numPr>
              <w:jc w:val="center"/>
              <w:rPr>
                <w:rtl/>
              </w:rPr>
            </w:pPr>
            <w:r>
              <w:t>9</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7087500000000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3628800</w:t>
            </w:r>
          </w:p>
        </w:tc>
        <w:tc>
          <w:tcPr>
            <w:tcW w:w="1357" w:type="dxa"/>
          </w:tcPr>
          <w:p w:rsidR="00D222C3" w:rsidRDefault="00D222C3" w:rsidP="00597C86">
            <w:pPr>
              <w:pStyle w:val="MTDisplayEquation"/>
              <w:numPr>
                <w:ilvl w:val="0"/>
                <w:numId w:val="0"/>
              </w:numPr>
              <w:jc w:val="center"/>
              <w:rPr>
                <w:rtl/>
              </w:rPr>
            </w:pPr>
            <w:r>
              <w:t>10</w:t>
            </w:r>
          </w:p>
        </w:tc>
      </w:tr>
    </w:tbl>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45pt;height:16.05pt" o:ole="">
            <v:imagedata r:id="rId10" o:title=""/>
          </v:shape>
          <o:OLEObject Type="Embed" ProgID="Equation.DSMT4" ShapeID="_x0000_i1025" DrawAspect="Content" ObjectID="_1604338051" r:id="rId11"/>
        </w:object>
      </w:r>
      <w:r w:rsidR="00D222C3">
        <w:rPr>
          <w:rFonts w:hint="cs"/>
          <w:rtl/>
        </w:rPr>
        <w:t xml:space="preserve"> ו- </w:t>
      </w:r>
      <m:oMath>
        <m:r>
          <w:rPr>
            <w:rFonts w:ascii="Cambria Math" w:hAnsi="Cambria Math"/>
          </w:rPr>
          <m:t>l=5</m:t>
        </m:r>
      </m:oMath>
    </w:p>
    <w:p w:rsidR="00D222C3" w:rsidRDefault="00D222C3" w:rsidP="00D222C3">
      <w:pPr>
        <w:bidi/>
        <w:ind w:left="360"/>
      </w:pPr>
    </w:p>
    <w:p w:rsidR="00D222C3" w:rsidRDefault="00D222C3" w:rsidP="00D222C3">
      <w:pPr>
        <w:bidi/>
        <w:ind w:left="360"/>
      </w:pPr>
    </w:p>
    <w:p w:rsidR="000D559D" w:rsidRDefault="000D559D" w:rsidP="00EA71BD">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rPr>
          <w:rtl/>
        </w:rPr>
      </w:pPr>
    </w:p>
    <w:p w:rsidR="00542262" w:rsidRDefault="00343C28" w:rsidP="00A43C3F">
      <w:pPr>
        <w:pStyle w:val="1"/>
        <w:bidi/>
        <w:rPr>
          <w:b/>
          <w:bCs/>
          <w:rtl/>
        </w:rPr>
      </w:pPr>
      <w:r w:rsidRPr="00343C28">
        <w:rPr>
          <w:rFonts w:hint="cs"/>
          <w:b/>
          <w:bCs/>
          <w:rtl/>
        </w:rPr>
        <w:t>חלק ג'</w:t>
      </w:r>
    </w:p>
    <w:p w:rsidR="00A43C3F" w:rsidRDefault="00A43C3F" w:rsidP="00542262">
      <w:pPr>
        <w:pStyle w:val="1"/>
        <w:bidi/>
      </w:pPr>
      <w:r>
        <w:rPr>
          <w:rFonts w:hint="cs"/>
          <w:rtl/>
        </w:rPr>
        <w:t xml:space="preserve">סעיף 2: </w:t>
      </w:r>
    </w:p>
    <w:p w:rsidR="007F10E6" w:rsidRDefault="007F10E6" w:rsidP="007F10E6">
      <w:pPr>
        <w:bidi/>
        <w:rPr>
          <w:rFonts w:eastAsiaTheme="minorEastAsia"/>
          <w:rtl/>
        </w:rPr>
      </w:pPr>
      <w:r>
        <w:rPr>
          <w:rFonts w:hint="cs"/>
          <w:rtl/>
        </w:rPr>
        <w:t xml:space="preserve">בגבול העליון יש לנו </w:t>
      </w:r>
      <m:oMath>
        <m:r>
          <w:rPr>
            <w:rFonts w:ascii="Cambria Math" w:hAnsi="Cambria Math"/>
          </w:rPr>
          <m:t>k</m:t>
        </m:r>
      </m:oMath>
      <w:r>
        <w:rPr>
          <w:rFonts w:eastAsiaTheme="minorEastAsia" w:hint="cs"/>
          <w:rtl/>
        </w:rPr>
        <w:t xml:space="preserve"> לקוחות הממתינים למשלוח ו- </w:t>
      </w:r>
      <m:oMath>
        <m:r>
          <w:rPr>
            <w:rFonts w:ascii="Cambria Math" w:eastAsiaTheme="minorEastAsia" w:hAnsi="Cambria Math"/>
          </w:rPr>
          <m:t>l</m:t>
        </m:r>
      </m:oMath>
      <w:r>
        <w:rPr>
          <w:rFonts w:eastAsiaTheme="minorEastAsia" w:hint="cs"/>
          <w:rtl/>
        </w:rPr>
        <w:t xml:space="preserve"> תחנות דלק אפשריות ולכן מקדם הסיעוף המקסימלי הינו </w:t>
      </w:r>
      <m:oMath>
        <m:r>
          <w:rPr>
            <w:rFonts w:ascii="Cambria Math" w:eastAsiaTheme="minorEastAsia" w:hAnsi="Cambria Math"/>
          </w:rPr>
          <m:t>k+l</m:t>
        </m:r>
      </m:oMath>
      <w:r>
        <w:rPr>
          <w:rFonts w:eastAsiaTheme="minorEastAsia" w:hint="cs"/>
          <w:rtl/>
        </w:rPr>
        <w:t>. בגבול התחתון כל ההזמנות סופקו ו</w:t>
      </w:r>
      <w:r w:rsidR="00BC2703">
        <w:rPr>
          <w:rFonts w:eastAsiaTheme="minorEastAsia" w:hint="cs"/>
          <w:rtl/>
        </w:rPr>
        <w:t>כבר ביקרנו בכל תחנות הדלק ולכן מקדם הסיעוף הינן 0.</w:t>
      </w:r>
    </w:p>
    <w:p w:rsidR="00A03A10" w:rsidRDefault="00BC2703" w:rsidP="00A03A10">
      <w:pPr>
        <w:bidi/>
        <w:rPr>
          <w:rFonts w:eastAsiaTheme="minorEastAsia"/>
          <w:rtl/>
        </w:rPr>
      </w:pPr>
      <w:r>
        <w:rPr>
          <w:rFonts w:eastAsiaTheme="minorEastAsia" w:hint="cs"/>
          <w:rtl/>
        </w:rPr>
        <w:t>סה"כ נקבל</w:t>
      </w:r>
      <w:r w:rsidR="00424154">
        <w:rPr>
          <w:rFonts w:eastAsiaTheme="minorEastAsia" w:hint="cs"/>
          <w:rtl/>
        </w:rPr>
        <w:t xml:space="preserve"> </w:t>
      </w:r>
      <w:r>
        <w:rPr>
          <w:rFonts w:eastAsiaTheme="minorEastAsia" w:hint="cs"/>
          <w:rtl/>
        </w:rPr>
        <w:t xml:space="preserve"> </w:t>
      </w:r>
      <m:oMath>
        <m:r>
          <w:rPr>
            <w:rFonts w:ascii="Cambria Math" w:eastAsiaTheme="minorEastAsia" w:hAnsi="Cambria Math"/>
          </w:rPr>
          <m:t>max=k+l  ,   min=0</m:t>
        </m:r>
      </m:oMath>
      <w:r w:rsidR="00424154">
        <w:rPr>
          <w:rFonts w:eastAsiaTheme="minorEastAsia" w:hint="cs"/>
          <w:rtl/>
        </w:rPr>
        <w:t>.</w:t>
      </w:r>
    </w:p>
    <w:p w:rsidR="00A03A10" w:rsidRPr="00A03A10" w:rsidRDefault="00A03A10" w:rsidP="00A03A10">
      <w:pPr>
        <w:bidi/>
        <w:rPr>
          <w:rFonts w:eastAsiaTheme="minorEastAsia"/>
        </w:rPr>
      </w:pPr>
    </w:p>
    <w:p w:rsidR="003B5694" w:rsidRDefault="00A43C3F" w:rsidP="0019295A">
      <w:pPr>
        <w:pStyle w:val="1"/>
        <w:bidi/>
      </w:pPr>
      <w:r>
        <w:rPr>
          <w:rFonts w:hint="cs"/>
          <w:rtl/>
        </w:rPr>
        <w:t>סעיף 3:</w:t>
      </w:r>
    </w:p>
    <w:p w:rsidR="0019295A" w:rsidRDefault="0019295A" w:rsidP="0019295A">
      <w:pPr>
        <w:bidi/>
        <w:rPr>
          <w:rtl/>
        </w:rPr>
      </w:pPr>
      <w:r>
        <w:rPr>
          <w:rFonts w:hint="cs"/>
          <w:rtl/>
        </w:rPr>
        <w:t>יתכנו מעגלים.</w:t>
      </w:r>
    </w:p>
    <w:p w:rsidR="00C576BB" w:rsidRPr="00542262" w:rsidRDefault="00C576BB" w:rsidP="00542262">
      <w:pPr>
        <w:bidi/>
        <w:rPr>
          <w:rFonts w:eastAsiaTheme="minorEastAsia"/>
          <w:rtl/>
        </w:rPr>
      </w:pPr>
      <w:r>
        <w:rPr>
          <w:rFonts w:hint="cs"/>
          <w:rtl/>
        </w:rPr>
        <w:t xml:space="preserve">כיוון שהגעה לתחנת דלק אינה משנה את רשימות המשלוחים ומצב הדלק במצבים אלו הינו </w:t>
      </w:r>
      <m:oMath>
        <m:sSub>
          <m:sSubPr>
            <m:ctrlPr>
              <w:rPr>
                <w:rFonts w:ascii="Cambria Math" w:hAnsi="Cambria Math"/>
                <w:i/>
              </w:rPr>
            </m:ctrlPr>
          </m:sSubPr>
          <m:e>
            <m:r>
              <w:rPr>
                <w:rFonts w:ascii="Cambria Math" w:hAnsi="Cambria Math"/>
              </w:rPr>
              <m:t>d</m:t>
            </m:r>
          </m:e>
          <m:sub>
            <m:r>
              <w:rPr>
                <w:rFonts w:ascii="Cambria Math" w:hAnsi="Cambria Math"/>
              </w:rPr>
              <m:t>refuel</m:t>
            </m:r>
          </m:sub>
        </m:sSub>
      </m:oMath>
      <w:r>
        <w:rPr>
          <w:rFonts w:eastAsiaTheme="minorEastAsia" w:hint="cs"/>
          <w:rtl/>
        </w:rPr>
        <w:t xml:space="preserve"> כל עוד המרחק בין 2 תחנות דלק קטן מ-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oMath>
      <w:r>
        <w:rPr>
          <w:rFonts w:eastAsiaTheme="minorEastAsia" w:hint="cs"/>
          <w:rtl/>
        </w:rPr>
        <w:t xml:space="preserve"> יהיה קיים אופרטור מאחת לשנייה ונקבל מעגל.</w:t>
      </w:r>
    </w:p>
    <w:p w:rsidR="00F07A1C" w:rsidRDefault="00C576BB" w:rsidP="00C576BB">
      <w:pPr>
        <w:bidi/>
        <w:rPr>
          <w:rFonts w:eastAsiaTheme="minorEastAsia"/>
        </w:rPr>
      </w:pPr>
      <w:r>
        <w:rPr>
          <w:rFonts w:hint="cs"/>
          <w:rtl/>
        </w:rPr>
        <w:t xml:space="preserve">לדוגמא עבור </w:t>
      </w:r>
      <m:oMath>
        <m:r>
          <w:rPr>
            <w:rFonts w:ascii="Cambria Math" w:hAnsi="Cambria Math"/>
          </w:rPr>
          <m:t>Ord=</m:t>
        </m:r>
        <m:d>
          <m:dPr>
            <m:begChr m:val="{"/>
            <m:endChr m:val="}"/>
            <m:ctrlPr>
              <w:rPr>
                <w:rFonts w:ascii="Cambria Math" w:hAnsi="Cambria Math"/>
                <w:i/>
              </w:rPr>
            </m:ctrlPr>
          </m:dPr>
          <m:e>
            <m:r>
              <w:rPr>
                <w:rFonts w:ascii="Cambria Math" w:hAnsi="Cambria Math"/>
              </w:rPr>
              <m:t>t1</m:t>
            </m:r>
          </m:e>
        </m:d>
      </m:oMath>
      <w:r>
        <w:rPr>
          <w:rFonts w:eastAsiaTheme="minorEastAsia" w:hint="cs"/>
          <w:rtl/>
        </w:rPr>
        <w:t xml:space="preserve"> , </w:t>
      </w:r>
      <m:oMath>
        <m:r>
          <w:rPr>
            <w:rFonts w:ascii="Cambria Math" w:eastAsiaTheme="minorEastAsia" w:hAnsi="Cambria Math"/>
          </w:rPr>
          <m:t>GasStations=</m:t>
        </m:r>
        <m:d>
          <m:dPr>
            <m:begChr m:val="{"/>
            <m:endChr m:val="}"/>
            <m:ctrlPr>
              <w:rPr>
                <w:rFonts w:ascii="Cambria Math" w:eastAsiaTheme="minorEastAsia" w:hAnsi="Cambria Math"/>
                <w:i/>
              </w:rPr>
            </m:ctrlPr>
          </m:dPr>
          <m:e>
            <m:r>
              <w:rPr>
                <w:rFonts w:ascii="Cambria Math" w:eastAsiaTheme="minorEastAsia" w:hAnsi="Cambria Math"/>
              </w:rPr>
              <m:t>f1,f2</m:t>
            </m:r>
          </m:e>
        </m:d>
      </m:oMath>
      <w:r>
        <w:rPr>
          <w:rFonts w:eastAsiaTheme="minorEastAsia" w:hint="cs"/>
          <w:rtl/>
        </w:rPr>
        <w:t xml:space="preserve"> וקבוצת המצבים</w:t>
      </w:r>
    </w:p>
    <w:p w:rsidR="00C576BB" w:rsidRDefault="00C576BB" w:rsidP="00F07A1C">
      <w:pPr>
        <w:bidi/>
        <w:rPr>
          <w:rFonts w:eastAsiaTheme="minorEastAsia"/>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w:r w:rsidR="00F07A1C">
        <w:rPr>
          <w:rFonts w:eastAsiaTheme="minorEastAsia"/>
        </w:rPr>
        <w:t xml:space="preserve"> </w:t>
      </w:r>
      <w:r w:rsidR="00F07A1C">
        <w:rPr>
          <w:rFonts w:eastAsiaTheme="minorEastAsia" w:hint="cs"/>
          <w:rtl/>
        </w:rPr>
        <w:t xml:space="preserve"> כאשר </w:t>
      </w:r>
      <m:oMath>
        <m:r>
          <w:rPr>
            <w:rFonts w:ascii="Cambria Math" w:eastAsiaTheme="minorEastAsia" w:hAnsi="Cambria Math"/>
          </w:rPr>
          <m:t>dist(u,v)</m:t>
        </m:r>
      </m:oMath>
      <w:r w:rsidR="00F07A1C">
        <w:rPr>
          <w:rFonts w:eastAsiaTheme="minorEastAsia" w:hint="cs"/>
          <w:rtl/>
        </w:rPr>
        <w:t xml:space="preserve"> מסומן על הקשתות לכל </w:t>
      </w:r>
      <m:oMath>
        <m:r>
          <w:rPr>
            <w:rFonts w:ascii="Cambria Math" w:eastAsiaTheme="minorEastAsia" w:hAnsi="Cambria Math"/>
          </w:rPr>
          <m:t>u,v</m:t>
        </m:r>
      </m:oMath>
      <w:r w:rsidR="00F07A1C">
        <w:rPr>
          <w:rFonts w:eastAsiaTheme="minorEastAsia" w:hint="cs"/>
          <w:rtl/>
        </w:rPr>
        <w:t xml:space="preserve"> צמתים של מצבים מסוימים נקבל את המעגל הבא:</w:t>
      </w:r>
    </w:p>
    <w:p w:rsidR="00F07A1C" w:rsidRPr="00F07A1C" w:rsidRDefault="00542262" w:rsidP="00F07A1C">
      <w:pPr>
        <w:bidi/>
        <w:rPr>
          <w:rFonts w:eastAsiaTheme="minorEastAsia"/>
          <w:rtl/>
        </w:rPr>
      </w:pPr>
      <w:r>
        <w:rPr>
          <w:rFonts w:eastAsiaTheme="minorEastAsia"/>
          <w:noProof/>
        </w:rPr>
        <w:drawing>
          <wp:anchor distT="0" distB="0" distL="114300" distR="114300" simplePos="0" relativeHeight="251661312" behindDoc="0" locked="0" layoutInCell="1" allowOverlap="1">
            <wp:simplePos x="0" y="0"/>
            <wp:positionH relativeFrom="column">
              <wp:posOffset>1808874</wp:posOffset>
            </wp:positionH>
            <wp:positionV relativeFrom="paragraph">
              <wp:posOffset>5737</wp:posOffset>
            </wp:positionV>
            <wp:extent cx="1315720" cy="1947545"/>
            <wp:effectExtent l="38100" t="38100" r="93980" b="9080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720" cy="194754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F07A1C" w:rsidRDefault="00F07A1C" w:rsidP="00F07A1C">
      <w:pPr>
        <w:bidi/>
        <w:spacing w:before="240"/>
        <w:rPr>
          <w:rtl/>
        </w:rPr>
      </w:pPr>
    </w:p>
    <w:p w:rsidR="00F07A1C" w:rsidRDefault="00F07A1C" w:rsidP="00F07A1C">
      <w:pPr>
        <w:bidi/>
        <w:spacing w:before="240"/>
        <w:rPr>
          <w:rtl/>
        </w:rPr>
      </w:pPr>
    </w:p>
    <w:p w:rsidR="00F07A1C" w:rsidRPr="003B5694" w:rsidRDefault="00F07A1C" w:rsidP="00F07A1C">
      <w:pPr>
        <w:bidi/>
        <w:spacing w:before="240"/>
        <w:rPr>
          <w:rtl/>
        </w:rPr>
      </w:pPr>
    </w:p>
    <w:p w:rsidR="000D559D" w:rsidRPr="003B5694" w:rsidRDefault="00542F21" w:rsidP="00A43C3F">
      <w:pPr>
        <w:pStyle w:val="MTDisplayEquation"/>
        <w:numPr>
          <w:ilvl w:val="0"/>
          <w:numId w:val="0"/>
        </w:numPr>
        <w:rPr>
          <w:color w:val="FF0000"/>
          <w:rtl/>
        </w:rPr>
      </w:pPr>
      <w:r w:rsidRPr="003B5694">
        <w:rPr>
          <w:rFonts w:hint="cs"/>
          <w:color w:val="FF0000"/>
          <w:rtl/>
        </w:rPr>
        <w:t>לא יתכנו מעגלים.</w:t>
      </w:r>
    </w:p>
    <w:p w:rsidR="00542F21" w:rsidRPr="003B5694" w:rsidRDefault="00542F21" w:rsidP="00A43C3F">
      <w:pPr>
        <w:pStyle w:val="MTDisplayEquation"/>
        <w:numPr>
          <w:ilvl w:val="0"/>
          <w:numId w:val="0"/>
        </w:numPr>
        <w:rPr>
          <w:color w:val="FF0000"/>
          <w:rtl/>
        </w:rPr>
      </w:pPr>
      <w:r w:rsidRPr="003B5694">
        <w:rPr>
          <w:rFonts w:hint="cs"/>
          <w:color w:val="FF0000"/>
          <w:rtl/>
        </w:rPr>
        <w:t>מכיוון שאיחוד הרשימות נותן את רשימת כל ההזמנות ונתון שבכל מצב מובטח ש</w:t>
      </w:r>
      <w:r w:rsidR="00A43C3F" w:rsidRPr="003B5694">
        <w:rPr>
          <w:rFonts w:hint="cs"/>
          <w:color w:val="FF0000"/>
          <w:rtl/>
        </w:rPr>
        <w:t xml:space="preserve">לפחות אחת הרשימות השתנתה (רשימה </w:t>
      </w:r>
      <w:r w:rsidRPr="003B5694">
        <w:rPr>
          <w:rFonts w:hint="cs"/>
          <w:color w:val="FF0000"/>
          <w:rtl/>
        </w:rPr>
        <w:t xml:space="preserve">משתנה רק בכיוון יחיד </w:t>
      </w:r>
      <w:r w:rsidRPr="003B5694">
        <w:rPr>
          <w:color w:val="FF0000"/>
          <w:position w:val="-6"/>
        </w:rPr>
        <w:object w:dxaOrig="1300" w:dyaOrig="279">
          <v:shape id="_x0000_i1026" type="#_x0000_t75" style="width:65.35pt;height:14.5pt" o:ole="">
            <v:imagedata r:id="rId13" o:title=""/>
          </v:shape>
          <o:OLEObject Type="Embed" ProgID="Equation.DSMT4" ShapeID="_x0000_i1026" DrawAspect="Content" ObjectID="_1604338052" r:id="rId14"/>
        </w:object>
      </w:r>
      <w:r w:rsidRPr="003B5694">
        <w:rPr>
          <w:color w:val="FF0000"/>
          <w:rtl/>
        </w:rPr>
        <w:t xml:space="preserve"> </w:t>
      </w:r>
      <w:r w:rsidRPr="003B5694">
        <w:rPr>
          <w:rFonts w:hint="cs"/>
          <w:color w:val="FF0000"/>
          <w:rtl/>
        </w:rPr>
        <w:t>) לכן לא קיימת האפשרות להגיע לאותו מצב יותר מפעם אחת.</w:t>
      </w:r>
    </w:p>
    <w:p w:rsidR="004D1622" w:rsidRPr="004D1622" w:rsidRDefault="004D1622" w:rsidP="004D1622">
      <w:pPr>
        <w:bidi/>
        <w:rPr>
          <w:rtl/>
        </w:rPr>
      </w:pPr>
    </w:p>
    <w:p w:rsidR="00A43C3F" w:rsidRDefault="00A43C3F" w:rsidP="00A43C3F">
      <w:pPr>
        <w:pStyle w:val="1"/>
        <w:bidi/>
        <w:rPr>
          <w:rtl/>
        </w:rPr>
      </w:pPr>
      <w:r>
        <w:rPr>
          <w:rFonts w:hint="cs"/>
          <w:rtl/>
        </w:rPr>
        <w:t>סעיף 4:</w:t>
      </w:r>
    </w:p>
    <w:p w:rsidR="00A43C3F" w:rsidRDefault="00A43C3F" w:rsidP="00A43C3F">
      <w:pPr>
        <w:pStyle w:val="1"/>
        <w:bidi/>
      </w:pPr>
      <w:r>
        <w:rPr>
          <w:rFonts w:hint="cs"/>
          <w:rtl/>
        </w:rPr>
        <w:t xml:space="preserve">סעיף </w:t>
      </w:r>
      <w:r w:rsidR="008F3DE0" w:rsidRPr="008F3DE0">
        <w:rPr>
          <w:rFonts w:asciiTheme="majorBidi" w:hAnsiTheme="majorBidi"/>
        </w:rPr>
        <w:t>5</w:t>
      </w:r>
      <w:r>
        <w:rPr>
          <w:rFonts w:hint="cs"/>
          <w:rtl/>
        </w:rPr>
        <w:t>:</w:t>
      </w:r>
    </w:p>
    <w:p w:rsidR="00FA05C1" w:rsidRDefault="00FA05C1" w:rsidP="00FA05C1">
      <w:pPr>
        <w:bidi/>
        <w:rPr>
          <w:rtl/>
        </w:rPr>
      </w:pPr>
      <w:r>
        <w:rPr>
          <w:rFonts w:hint="cs"/>
          <w:rtl/>
        </w:rPr>
        <w:t>יתכנו בורות.</w:t>
      </w:r>
    </w:p>
    <w:p w:rsidR="00FA05C1" w:rsidRPr="00FA05C1" w:rsidRDefault="00FA05C1" w:rsidP="00FA05C1">
      <w:pPr>
        <w:bidi/>
        <w:rPr>
          <w:rtl/>
        </w:rPr>
      </w:pPr>
      <w:r>
        <w:rPr>
          <w:rFonts w:hint="cs"/>
          <w:rtl/>
        </w:rPr>
        <w:t>אם החלטנו ללכת לספק משלוח, שאינו המשלוח האחרון, במקום ללכת לתדלק והגענו למצב שאין לנו מספיק דלק כדי להגיע למשלוח הבא או לתחנת דלק קרובה נתקע בבור.</w:t>
      </w:r>
    </w:p>
    <w:p w:rsidR="00E00036" w:rsidRPr="00FA05C1" w:rsidRDefault="001A5982" w:rsidP="00A43C3F">
      <w:pPr>
        <w:pStyle w:val="MTDisplayEquation"/>
        <w:numPr>
          <w:ilvl w:val="0"/>
          <w:numId w:val="0"/>
        </w:numPr>
        <w:rPr>
          <w:color w:val="FF0000"/>
          <w:rtl/>
        </w:rPr>
      </w:pPr>
      <w:r w:rsidRPr="00FA05C1">
        <w:rPr>
          <w:rFonts w:hint="cs"/>
          <w:color w:val="FF0000"/>
          <w:rtl/>
        </w:rPr>
        <w:t>לא יתכנו בורות.</w:t>
      </w:r>
    </w:p>
    <w:p w:rsidR="001A5982" w:rsidRDefault="001A5982" w:rsidP="00A43C3F">
      <w:pPr>
        <w:pStyle w:val="MTDisplayEquation"/>
        <w:numPr>
          <w:ilvl w:val="0"/>
          <w:numId w:val="0"/>
        </w:numPr>
        <w:ind w:left="360" w:hanging="360"/>
        <w:rPr>
          <w:rtl/>
        </w:rPr>
      </w:pPr>
      <w:r w:rsidRPr="00FA05C1">
        <w:rPr>
          <w:rFonts w:hint="cs"/>
          <w:color w:val="FF0000"/>
          <w:rtl/>
        </w:rPr>
        <w:t>כל עוד ישנן הזמנות לא גמורות אופרטור המעבר מאפשר לנו לעבור למצב בו צריך להוריד\לאסוף לקוח</w:t>
      </w:r>
    </w:p>
    <w:p w:rsidR="00A43C3F" w:rsidRDefault="00A43C3F" w:rsidP="00A43C3F">
      <w:pPr>
        <w:pStyle w:val="1"/>
        <w:bidi/>
      </w:pPr>
      <w:r>
        <w:rPr>
          <w:rFonts w:hint="cs"/>
          <w:rtl/>
        </w:rPr>
        <w:t xml:space="preserve">סעיף </w:t>
      </w:r>
      <w:r w:rsidR="008F3DE0">
        <w:rPr>
          <w:rFonts w:asciiTheme="majorBidi" w:hAnsiTheme="majorBidi"/>
        </w:rPr>
        <w:t>6</w:t>
      </w:r>
      <w:r>
        <w:rPr>
          <w:rFonts w:hint="cs"/>
          <w:rtl/>
        </w:rPr>
        <w:t>:</w:t>
      </w:r>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={(t,d,T,F)|t∈Ord, 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,t</m:t>
              </m:r>
            </m:e>
          </m:d>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d>
                <m:dPr>
                  <m:begChr m:val="{"/>
                  <m:endChr m:val="}"/>
                  <m:ctrlPr>
                    <w:rPr>
                      <w:rFonts w:ascii="Cambria Math" w:hAnsi="Cambria Math"/>
                      <w:i/>
                    </w:rPr>
                  </m:ctrlPr>
                </m:dPr>
                <m:e>
                  <m:r>
                    <w:rPr>
                      <w:rFonts w:ascii="Cambria Math" w:hAnsi="Cambria Math"/>
                    </w:rPr>
                    <m:t>i</m:t>
                  </m:r>
                </m:e>
              </m:d>
            </m:den>
          </m:f>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oMath>
      </m:oMathPara>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={(f,d,T,F)|f∈GasStations, d=</m:t>
          </m:r>
          <m:sSub>
            <m:sSubPr>
              <m:ctrlPr>
                <w:rPr>
                  <w:rFonts w:ascii="Cambria Math" w:hAnsi="Cambria Math"/>
                  <w:i/>
                </w:rPr>
              </m:ctrlPr>
            </m:sSubPr>
            <m:e>
              <m:r>
                <w:rPr>
                  <w:rFonts w:ascii="Cambria Math" w:hAnsi="Cambria Math"/>
                </w:rPr>
                <m:t>d</m:t>
              </m:r>
            </m:e>
            <m:sub>
              <m:r>
                <w:rPr>
                  <w:rFonts w:ascii="Cambria Math" w:hAnsi="Cambria Math"/>
                </w:rPr>
                <m:t>refuel</m:t>
              </m:r>
            </m:sub>
          </m:sSub>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1</m:t>
              </m:r>
            </m:sub>
          </m:sSub>
          <m:r>
            <w:rPr>
              <w:rFonts w:ascii="Cambria Math" w:hAnsi="Cambria Math"/>
            </w:rPr>
            <m:t>}</m:t>
          </m:r>
        </m:oMath>
      </m:oMathPara>
    </w:p>
    <w:p w:rsidR="00105691" w:rsidRPr="00105691" w:rsidRDefault="00105691" w:rsidP="00105691">
      <w:pPr>
        <w:bidi/>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oMath>
      </m:oMathPara>
    </w:p>
    <w:p w:rsidR="00105691" w:rsidRPr="00105691" w:rsidRDefault="00105691" w:rsidP="00105691">
      <w:pPr>
        <w:bidi/>
      </w:pPr>
    </w:p>
    <w:p w:rsidR="008F3DE0" w:rsidRPr="008F3DE0" w:rsidRDefault="008F3DE0" w:rsidP="008F3DE0">
      <w:pPr>
        <w:bidi/>
        <w:rPr>
          <w:rtl/>
        </w:rPr>
      </w:pPr>
    </w:p>
    <w:p w:rsidR="007729B7" w:rsidRDefault="00A43C3F" w:rsidP="00A43C3F">
      <w:pPr>
        <w:pStyle w:val="MTDisplayEquation"/>
        <w:numPr>
          <w:ilvl w:val="0"/>
          <w:numId w:val="0"/>
        </w:numPr>
        <w:ind w:left="360"/>
      </w:pPr>
      <w:r w:rsidRPr="00105691">
        <w:rPr>
          <w:rFonts w:hint="cs"/>
          <w:color w:val="FF0000"/>
          <w:rtl/>
        </w:rPr>
        <w:t xml:space="preserve"> </w:t>
      </w:r>
      <w:r w:rsidR="00F80FB2" w:rsidRPr="004D4B98">
        <w:rPr>
          <w:position w:val="-42"/>
          <w:highlight w:val="red"/>
          <w:u w:val="single"/>
        </w:rPr>
        <w:object w:dxaOrig="10080" w:dyaOrig="680">
          <v:shape id="_x0000_i1027" type="#_x0000_t75" style="width:7in;height:33.65pt" o:ole="">
            <v:imagedata r:id="rId15" o:title=""/>
          </v:shape>
          <o:OLEObject Type="Embed" ProgID="Equation.DSMT4" ShapeID="_x0000_i1027" DrawAspect="Content" ObjectID="_1604338053" r:id="rId16"/>
        </w:object>
      </w:r>
      <w:r w:rsidR="007729B7">
        <w:rPr>
          <w:rtl/>
        </w:rPr>
        <w:t xml:space="preserve"> </w:t>
      </w:r>
    </w:p>
    <w:p w:rsidR="008567C0" w:rsidRPr="00FA05C1" w:rsidRDefault="008567C0" w:rsidP="008567C0">
      <w:pPr>
        <w:pStyle w:val="a3"/>
        <w:numPr>
          <w:ilvl w:val="0"/>
          <w:numId w:val="3"/>
        </w:numPr>
        <w:bidi/>
        <w:rPr>
          <w:color w:val="FF0000"/>
        </w:rPr>
      </w:pPr>
      <w:r w:rsidRPr="00FA05C1">
        <w:rPr>
          <w:rFonts w:hint="cs"/>
          <w:color w:val="FF0000"/>
          <w:rtl/>
        </w:rPr>
        <w:t xml:space="preserve">מכיוון שיתכן שנאסוף\נוריד יותר מלקוח אחד בצומת מסוים אזי </w:t>
      </w:r>
      <w:r w:rsidR="00F80FB2" w:rsidRPr="00FA05C1">
        <w:rPr>
          <w:color w:val="FF0000"/>
          <w:position w:val="-6"/>
        </w:rPr>
        <w:object w:dxaOrig="200" w:dyaOrig="300">
          <v:shape id="_x0000_i1028" type="#_x0000_t75" style="width:9.8pt;height:14.85pt" o:ole="">
            <v:imagedata r:id="rId17" o:title=""/>
          </v:shape>
          <o:OLEObject Type="Embed" ProgID="Equation.DSMT4" ShapeID="_x0000_i1028" DrawAspect="Content" ObjectID="_1604338054" r:id="rId18"/>
        </w:object>
      </w:r>
      <w:r w:rsidRPr="00FA05C1">
        <w:rPr>
          <w:color w:val="FF0000"/>
          <w:rtl/>
        </w:rPr>
        <w:t xml:space="preserve"> </w:t>
      </w:r>
      <w:r w:rsidR="00F80FB2" w:rsidRPr="00FA05C1">
        <w:rPr>
          <w:rFonts w:hint="cs"/>
          <w:color w:val="FF0000"/>
          <w:rtl/>
        </w:rPr>
        <w:t>מ</w:t>
      </w:r>
      <w:r w:rsidRPr="00FA05C1">
        <w:rPr>
          <w:rFonts w:hint="cs"/>
          <w:color w:val="FF0000"/>
          <w:rtl/>
        </w:rPr>
        <w:t>ייצ</w:t>
      </w:r>
      <w:r w:rsidR="00720B6A" w:rsidRPr="00FA05C1">
        <w:rPr>
          <w:rFonts w:hint="cs"/>
          <w:color w:val="FF0000"/>
          <w:rtl/>
        </w:rPr>
        <w:t>ג</w:t>
      </w:r>
      <w:r w:rsidR="00720B6A" w:rsidRPr="00FA05C1">
        <w:rPr>
          <w:color w:val="FF0000"/>
        </w:rPr>
        <w:t xml:space="preserve"> </w:t>
      </w:r>
      <w:r w:rsidR="00720B6A" w:rsidRPr="00FA05C1">
        <w:rPr>
          <w:rFonts w:hint="cs"/>
          <w:color w:val="FF0000"/>
          <w:rtl/>
        </w:rPr>
        <w:t xml:space="preserve"> את כל ההזמנות המטופלות באותו צומת </w:t>
      </w:r>
    </w:p>
    <w:p w:rsidR="002B2A5A" w:rsidRPr="00FA05C1" w:rsidRDefault="002B2A5A" w:rsidP="008567C0">
      <w:pPr>
        <w:pStyle w:val="a3"/>
        <w:numPr>
          <w:ilvl w:val="0"/>
          <w:numId w:val="3"/>
        </w:numPr>
        <w:bidi/>
        <w:rPr>
          <w:color w:val="FF0000"/>
        </w:rPr>
      </w:pPr>
      <w:r w:rsidRPr="00FA05C1">
        <w:rPr>
          <w:color w:val="FF0000"/>
          <w:rtl/>
        </w:rPr>
        <w:t xml:space="preserve">במידה </w:t>
      </w:r>
      <w:r w:rsidRPr="00FA05C1">
        <w:rPr>
          <w:rFonts w:hint="cs"/>
          <w:color w:val="FF0000"/>
          <w:rtl/>
        </w:rPr>
        <w:t xml:space="preserve">וההנחה של סעיף 5 תקפה גם כאן נקבל </w:t>
      </w:r>
      <w:r w:rsidR="00054BA7" w:rsidRPr="00FA05C1">
        <w:rPr>
          <w:color w:val="FF0000"/>
          <w:position w:val="-6"/>
        </w:rPr>
        <w:object w:dxaOrig="520" w:dyaOrig="300">
          <v:shape id="_x0000_i1029" type="#_x0000_t75" style="width:25.45pt;height:14.85pt" o:ole="">
            <v:imagedata r:id="rId19" o:title=""/>
          </v:shape>
          <o:OLEObject Type="Embed" ProgID="Equation.DSMT4" ShapeID="_x0000_i1029" DrawAspect="Content" ObjectID="_1604338055" r:id="rId20"/>
        </w:object>
      </w:r>
      <w:r w:rsidRPr="00FA05C1">
        <w:rPr>
          <w:color w:val="FF0000"/>
          <w:rtl/>
        </w:rPr>
        <w:t xml:space="preserve"> </w:t>
      </w:r>
    </w:p>
    <w:p w:rsidR="00A43C3F" w:rsidRDefault="00A43C3F" w:rsidP="00A43C3F">
      <w:pPr>
        <w:pStyle w:val="1"/>
        <w:bidi/>
        <w:rPr>
          <w:rtl/>
        </w:rPr>
      </w:pPr>
      <w:r>
        <w:rPr>
          <w:rFonts w:hint="cs"/>
          <w:rtl/>
        </w:rPr>
        <w:t xml:space="preserve">סעיף </w:t>
      </w:r>
      <w:r w:rsidR="004047DB">
        <w:rPr>
          <w:rFonts w:hint="cs"/>
          <w:rtl/>
        </w:rPr>
        <w:t>7</w:t>
      </w:r>
      <w:r>
        <w:rPr>
          <w:rFonts w:hint="cs"/>
          <w:rtl/>
        </w:rPr>
        <w:t>:</w:t>
      </w:r>
    </w:p>
    <w:p w:rsidR="004047DB" w:rsidRPr="004047DB" w:rsidRDefault="004047DB" w:rsidP="004047DB">
      <w:pPr>
        <w:bidi/>
        <w:rPr>
          <w:rtl/>
        </w:rPr>
      </w:pPr>
      <w:r>
        <w:rPr>
          <w:rFonts w:hint="cs"/>
          <w:rtl/>
        </w:rPr>
        <w:t xml:space="preserve">במקרה המינימלי יהיה לנו דיי דלק בכדי לספק את כל המשלוחים ללא עצירה בתחנת דלק ולכן עבור הוספת צומת ההתחלה נקבל עומק מינימלי של </w:t>
      </w:r>
      <m:oMath>
        <m:r>
          <w:rPr>
            <w:rFonts w:ascii="Cambria Math" w:hAnsi="Cambria Math"/>
          </w:rPr>
          <m:t>k+1</m:t>
        </m:r>
      </m:oMath>
      <w:r>
        <w:rPr>
          <w:rFonts w:eastAsiaTheme="minorEastAsia" w:hint="cs"/>
          <w:rtl/>
        </w:rPr>
        <w:t>.</w:t>
      </w:r>
    </w:p>
    <w:p w:rsidR="008567C0" w:rsidRPr="004047DB" w:rsidRDefault="00571AAF" w:rsidP="00A43C3F">
      <w:pPr>
        <w:pStyle w:val="MTDisplayEquation"/>
        <w:numPr>
          <w:ilvl w:val="0"/>
          <w:numId w:val="0"/>
        </w:numPr>
        <w:ind w:left="720" w:hanging="360"/>
        <w:rPr>
          <w:color w:val="FF0000"/>
          <w:rtl/>
        </w:rPr>
      </w:pPr>
      <w:r w:rsidRPr="004047DB">
        <w:rPr>
          <w:rFonts w:hint="cs"/>
          <w:color w:val="FF0000"/>
          <w:rtl/>
        </w:rPr>
        <w:t xml:space="preserve">לפי ההנחה בכדי לטפל ב- </w:t>
      </w:r>
      <w:r w:rsidRPr="004047DB">
        <w:rPr>
          <w:color w:val="FF0000"/>
          <w:position w:val="-6"/>
        </w:rPr>
        <w:object w:dxaOrig="200" w:dyaOrig="279">
          <v:shape id="_x0000_i1030" type="#_x0000_t75" style="width:9.8pt;height:14.5pt" o:ole="">
            <v:imagedata r:id="rId21" o:title=""/>
          </v:shape>
          <o:OLEObject Type="Embed" ProgID="Equation.DSMT4" ShapeID="_x0000_i1030" DrawAspect="Content" ObjectID="_1604338056" r:id="rId22"/>
        </w:object>
      </w:r>
      <w:r w:rsidRPr="004047DB">
        <w:rPr>
          <w:color w:val="FF0000"/>
          <w:rtl/>
        </w:rPr>
        <w:t xml:space="preserve"> </w:t>
      </w:r>
      <w:r w:rsidRPr="004047DB">
        <w:rPr>
          <w:rFonts w:hint="cs"/>
          <w:color w:val="FF0000"/>
          <w:rtl/>
        </w:rPr>
        <w:t xml:space="preserve">הזמנות יש לעבור ב- </w:t>
      </w:r>
      <w:r w:rsidRPr="004047DB">
        <w:rPr>
          <w:color w:val="FF0000"/>
          <w:position w:val="-6"/>
        </w:rPr>
        <w:object w:dxaOrig="320" w:dyaOrig="279">
          <v:shape id="_x0000_i1031" type="#_x0000_t75" style="width:16.05pt;height:14.5pt" o:ole="">
            <v:imagedata r:id="rId23" o:title=""/>
          </v:shape>
          <o:OLEObject Type="Embed" ProgID="Equation.DSMT4" ShapeID="_x0000_i1031" DrawAspect="Content" ObjectID="_1604338057" r:id="rId24"/>
        </w:object>
      </w:r>
      <w:r w:rsidRPr="004047DB">
        <w:rPr>
          <w:color w:val="FF0000"/>
          <w:rtl/>
        </w:rPr>
        <w:t xml:space="preserve"> </w:t>
      </w:r>
      <w:r w:rsidRPr="004047DB">
        <w:rPr>
          <w:rFonts w:hint="cs"/>
          <w:color w:val="FF0000"/>
          <w:rtl/>
        </w:rPr>
        <w:t xml:space="preserve">צמתים ולכן עומק מצב מטרה במרחב החיפוש הינו </w:t>
      </w:r>
      <w:r w:rsidRPr="004047DB">
        <w:rPr>
          <w:color w:val="FF0000"/>
          <w:position w:val="-6"/>
        </w:rPr>
        <w:object w:dxaOrig="320" w:dyaOrig="279">
          <v:shape id="_x0000_i1032" type="#_x0000_t75" style="width:16.05pt;height:14.5pt" o:ole="">
            <v:imagedata r:id="rId25" o:title=""/>
          </v:shape>
          <o:OLEObject Type="Embed" ProgID="Equation.DSMT4" ShapeID="_x0000_i1032" DrawAspect="Content" ObjectID="_1604338058" r:id="rId26"/>
        </w:object>
      </w:r>
      <w:r w:rsidRPr="004047DB">
        <w:rPr>
          <w:rFonts w:hint="cs"/>
          <w:color w:val="FF0000"/>
          <w:rtl/>
        </w:rPr>
        <w:t>.</w:t>
      </w:r>
    </w:p>
    <w:p w:rsidR="0085574C" w:rsidRPr="004047DB" w:rsidRDefault="00571AAF" w:rsidP="00343C28">
      <w:pPr>
        <w:pStyle w:val="a3"/>
        <w:numPr>
          <w:ilvl w:val="0"/>
          <w:numId w:val="3"/>
        </w:numPr>
        <w:bidi/>
        <w:rPr>
          <w:color w:val="FF0000"/>
        </w:rPr>
      </w:pPr>
      <w:r w:rsidRPr="004047DB">
        <w:rPr>
          <w:rFonts w:hint="cs"/>
          <w:color w:val="FF0000"/>
          <w:rtl/>
        </w:rPr>
        <w:t>המינימלי והמקסימלי מזדהים בבעיה זו</w:t>
      </w:r>
    </w:p>
    <w:p w:rsidR="00542262" w:rsidRDefault="00343C28" w:rsidP="00A43C3F">
      <w:pPr>
        <w:pStyle w:val="1"/>
        <w:bidi/>
        <w:rPr>
          <w:b/>
          <w:bCs/>
          <w:rtl/>
        </w:rPr>
      </w:pPr>
      <w:r w:rsidRPr="00343C28">
        <w:rPr>
          <w:rFonts w:hint="cs"/>
          <w:b/>
          <w:bCs/>
          <w:rtl/>
        </w:rPr>
        <w:lastRenderedPageBreak/>
        <w:t>חלק ד'</w:t>
      </w:r>
    </w:p>
    <w:p w:rsidR="0085574C" w:rsidRDefault="00A43C3F" w:rsidP="00542262">
      <w:pPr>
        <w:pStyle w:val="1"/>
        <w:bidi/>
        <w:rPr>
          <w:rtl/>
        </w:rPr>
      </w:pPr>
      <w:r>
        <w:rPr>
          <w:rFonts w:hint="cs"/>
          <w:rtl/>
        </w:rPr>
        <w:t xml:space="preserve">סעיף </w:t>
      </w:r>
      <w:r w:rsidR="00D550F8">
        <w:rPr>
          <w:rFonts w:hint="cs"/>
          <w:rtl/>
        </w:rPr>
        <w:t>8</w:t>
      </w:r>
      <w:r>
        <w:rPr>
          <w:rFonts w:hint="cs"/>
          <w:rtl/>
        </w:rPr>
        <w:t>:</w:t>
      </w:r>
    </w:p>
    <w:p w:rsidR="0085574C" w:rsidRDefault="0056702B" w:rsidP="00720F17">
      <w:pPr>
        <w:pStyle w:val="a3"/>
        <w:numPr>
          <w:ilvl w:val="0"/>
          <w:numId w:val="3"/>
        </w:numPr>
        <w:bidi/>
        <w:rPr>
          <w:rtl/>
        </w:rPr>
      </w:pPr>
      <w:r>
        <w:rPr>
          <w:rFonts w:hint="cs"/>
          <w:noProof/>
        </w:rPr>
        <w:drawing>
          <wp:anchor distT="0" distB="0" distL="114300" distR="114300" simplePos="0" relativeHeight="251662336" behindDoc="0" locked="0" layoutInCell="1" allowOverlap="1">
            <wp:simplePos x="0" y="0"/>
            <wp:positionH relativeFrom="column">
              <wp:posOffset>-142240</wp:posOffset>
            </wp:positionH>
            <wp:positionV relativeFrom="paragraph">
              <wp:posOffset>308610</wp:posOffset>
            </wp:positionV>
            <wp:extent cx="6855460" cy="80645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546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02B" w:rsidRDefault="0056702B" w:rsidP="00720F17">
      <w:pPr>
        <w:pStyle w:val="a3"/>
        <w:bidi/>
      </w:pPr>
    </w:p>
    <w:p w:rsidR="00720F17" w:rsidRDefault="00720F17" w:rsidP="00720F17">
      <w:pPr>
        <w:pStyle w:val="a3"/>
        <w:numPr>
          <w:ilvl w:val="0"/>
          <w:numId w:val="3"/>
        </w:numPr>
        <w:bidi/>
        <w:rPr>
          <w:rtl/>
        </w:rPr>
      </w:pPr>
      <w:r>
        <w:rPr>
          <w:noProof/>
        </w:rPr>
        <w:drawing>
          <wp:anchor distT="0" distB="0" distL="114300" distR="114300" simplePos="0" relativeHeight="251663360" behindDoc="0" locked="0" layoutInCell="1" allowOverlap="1">
            <wp:simplePos x="0" y="0"/>
            <wp:positionH relativeFrom="column">
              <wp:posOffset>-208915</wp:posOffset>
            </wp:positionH>
            <wp:positionV relativeFrom="paragraph">
              <wp:posOffset>315595</wp:posOffset>
            </wp:positionV>
            <wp:extent cx="6855460" cy="7518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54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62" w:rsidRDefault="00176862" w:rsidP="00176862">
      <w:pPr>
        <w:pStyle w:val="a3"/>
        <w:bidi/>
        <w:rPr>
          <w:rtl/>
        </w:rPr>
      </w:pPr>
    </w:p>
    <w:p w:rsidR="00176862" w:rsidRDefault="00176862" w:rsidP="00176862">
      <w:pPr>
        <w:pStyle w:val="a3"/>
        <w:bidi/>
        <w:rPr>
          <w:rtl/>
        </w:rPr>
      </w:pPr>
    </w:p>
    <w:p w:rsidR="0056702B" w:rsidRPr="00542262" w:rsidRDefault="00542262" w:rsidP="00542262">
      <w:pPr>
        <w:pStyle w:val="1"/>
        <w:bidi/>
        <w:rPr>
          <w:b/>
          <w:bCs/>
          <w:rtl/>
        </w:rPr>
      </w:pPr>
      <w:r w:rsidRPr="00343C28">
        <w:rPr>
          <w:rFonts w:hint="cs"/>
          <w:b/>
          <w:bCs/>
          <w:rtl/>
        </w:rPr>
        <w:t xml:space="preserve">חלק </w:t>
      </w:r>
      <w:r>
        <w:rPr>
          <w:rFonts w:hint="cs"/>
          <w:b/>
          <w:bCs/>
          <w:rtl/>
        </w:rPr>
        <w:t>ה</w:t>
      </w:r>
      <w:r w:rsidRPr="00343C28">
        <w:rPr>
          <w:rFonts w:hint="cs"/>
          <w:b/>
          <w:bCs/>
          <w:rtl/>
        </w:rPr>
        <w:t>'</w:t>
      </w:r>
    </w:p>
    <w:p w:rsidR="00716252" w:rsidRDefault="00A43C3F" w:rsidP="00A43C3F">
      <w:pPr>
        <w:pStyle w:val="1"/>
        <w:bidi/>
        <w:rPr>
          <w:rtl/>
        </w:rPr>
      </w:pPr>
      <w:r>
        <w:rPr>
          <w:rFonts w:hint="cs"/>
          <w:rtl/>
        </w:rPr>
        <w:t xml:space="preserve">סעיף </w:t>
      </w:r>
      <w:r w:rsidR="00542262">
        <w:rPr>
          <w:rFonts w:hint="cs"/>
          <w:rtl/>
        </w:rPr>
        <w:t>9</w:t>
      </w:r>
      <w:r>
        <w:rPr>
          <w:rFonts w:hint="cs"/>
          <w:rtl/>
        </w:rPr>
        <w:t>:</w:t>
      </w:r>
    </w:p>
    <w:p w:rsidR="00F520D3" w:rsidRDefault="00F520D3" w:rsidP="00F520D3">
      <w:pPr>
        <w:bidi/>
        <w:rPr>
          <w:rtl/>
        </w:rPr>
      </w:pPr>
      <w:r>
        <w:rPr>
          <w:rFonts w:hint="cs"/>
          <w:rtl/>
        </w:rPr>
        <w:t>בקוד</w:t>
      </w:r>
    </w:p>
    <w:p w:rsidR="00F520D3" w:rsidRDefault="00F520D3" w:rsidP="00F520D3">
      <w:pPr>
        <w:bidi/>
        <w:rPr>
          <w:rtl/>
        </w:rPr>
      </w:pPr>
    </w:p>
    <w:p w:rsidR="00F520D3" w:rsidRDefault="00F520D3" w:rsidP="00F520D3">
      <w:pPr>
        <w:pStyle w:val="1"/>
        <w:bidi/>
        <w:rPr>
          <w:rtl/>
        </w:rPr>
      </w:pPr>
      <w:r>
        <w:rPr>
          <w:rFonts w:hint="cs"/>
          <w:rtl/>
        </w:rPr>
        <w:t>סעיף 10:</w:t>
      </w:r>
    </w:p>
    <w:p w:rsidR="004B5C3E" w:rsidRDefault="00F80FA6" w:rsidP="00F520D3">
      <w:pPr>
        <w:bidi/>
        <w:rPr>
          <w:rFonts w:eastAsiaTheme="minorEastAsia"/>
        </w:rPr>
      </w:pPr>
      <w:r>
        <w:rPr>
          <w:rFonts w:hint="cs"/>
          <w:rtl/>
        </w:rPr>
        <w:t xml:space="preserve">כפי שניתן לראות אכן קיבלנו את אותה תוצאה עבור </w:t>
      </w:r>
      <w:proofErr w:type="spellStart"/>
      <w:r>
        <w:t>uniform_cost</w:t>
      </w:r>
      <w:proofErr w:type="spellEnd"/>
      <w:r>
        <w:rPr>
          <w:rFonts w:hint="cs"/>
          <w:rtl/>
        </w:rPr>
        <w:t xml:space="preserve"> ו- </w:t>
      </w:r>
      <w:proofErr w:type="spellStart"/>
      <w:r>
        <w:t>a_star</w:t>
      </w:r>
      <w:proofErr w:type="spellEnd"/>
      <w:r>
        <w:rPr>
          <w:rFonts w:hint="cs"/>
          <w:rtl/>
        </w:rPr>
        <w:t xml:space="preserve"> עם יוריסטיקה </w:t>
      </w:r>
      <m:oMath>
        <m:r>
          <w:rPr>
            <w:rFonts w:ascii="Cambria Math" w:hAnsi="Cambria Math"/>
          </w:rPr>
          <m:t>h=0</m:t>
        </m:r>
      </m:oMath>
      <w:r w:rsidR="00DE5D29">
        <w:rPr>
          <w:rFonts w:eastAsiaTheme="minorEastAsia" w:hint="cs"/>
          <w:rtl/>
        </w:rPr>
        <w:t>.</w:t>
      </w:r>
    </w:p>
    <w:p w:rsidR="00A05895" w:rsidRDefault="00A05895" w:rsidP="00F520D3">
      <w:pPr>
        <w:bidi/>
      </w:pPr>
    </w:p>
    <w:p w:rsidR="00850B81" w:rsidRDefault="004B5C3E" w:rsidP="00FA333D">
      <w:pPr>
        <w:bidi/>
      </w:pPr>
      <w:r>
        <w:rPr>
          <w:rFonts w:eastAsiaTheme="minorEastAsia" w:hint="cs"/>
          <w:noProof/>
        </w:rPr>
        <w:drawing>
          <wp:inline distT="0" distB="0" distL="0" distR="0">
            <wp:extent cx="6855460" cy="1190625"/>
            <wp:effectExtent l="0" t="0" r="254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5460" cy="1190625"/>
                    </a:xfrm>
                    <a:prstGeom prst="rect">
                      <a:avLst/>
                    </a:prstGeom>
                    <a:noFill/>
                    <a:ln>
                      <a:noFill/>
                    </a:ln>
                  </pic:spPr>
                </pic:pic>
              </a:graphicData>
            </a:graphic>
          </wp:inline>
        </w:drawing>
      </w:r>
    </w:p>
    <w:p w:rsidR="00FA333D" w:rsidRDefault="00FA333D" w:rsidP="00FA333D">
      <w:pPr>
        <w:bidi/>
      </w:pPr>
    </w:p>
    <w:p w:rsidR="00FA333D" w:rsidRDefault="00A43C3F" w:rsidP="00A43C3F">
      <w:pPr>
        <w:pStyle w:val="1"/>
        <w:bidi/>
      </w:pPr>
      <w:r>
        <w:rPr>
          <w:rFonts w:hint="cs"/>
          <w:rtl/>
        </w:rPr>
        <w:t>סעיף 11:</w:t>
      </w:r>
    </w:p>
    <w:p w:rsidR="00FA333D" w:rsidRDefault="00FA333D" w:rsidP="00FA333D">
      <w:pPr>
        <w:bidi/>
        <w:rPr>
          <w:rtl/>
        </w:rPr>
      </w:pPr>
      <w:r>
        <w:rPr>
          <w:rFonts w:hint="cs"/>
          <w:rtl/>
        </w:rPr>
        <w:t xml:space="preserve">כמתוכנן כיוון שהיוריסטיקה קבילה קיבלנו פתרון קביל (זהה ל- </w:t>
      </w:r>
      <w:r>
        <w:t>uniform cost</w:t>
      </w:r>
      <w:r>
        <w:rPr>
          <w:rFonts w:hint="cs"/>
          <w:rtl/>
        </w:rPr>
        <w:t>) אך יעיל יותר מפתרון עם יוריסטיקה "טיפשה" שאינה מוסיפה מידע לאלגוריתם מעבר למחיר הצומת הנוכחי.</w:t>
      </w:r>
    </w:p>
    <w:p w:rsidR="00850B81" w:rsidRDefault="00FA333D" w:rsidP="00FA333D">
      <w:pPr>
        <w:bidi/>
      </w:pPr>
      <w:r w:rsidRPr="00FA333D">
        <w:rPr>
          <w:noProof/>
        </w:rPr>
        <w:t xml:space="preserve"> </w:t>
      </w:r>
      <w:r>
        <w:rPr>
          <w:noProof/>
        </w:rPr>
        <w:drawing>
          <wp:inline distT="0" distB="0" distL="0" distR="0" wp14:anchorId="1817F129" wp14:editId="698B81D7">
            <wp:extent cx="6852920" cy="442595"/>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97455" cy="445471"/>
                    </a:xfrm>
                    <a:prstGeom prst="rect">
                      <a:avLst/>
                    </a:prstGeom>
                    <a:noFill/>
                    <a:ln>
                      <a:noFill/>
                    </a:ln>
                  </pic:spPr>
                </pic:pic>
              </a:graphicData>
            </a:graphic>
          </wp:inline>
        </w:drawing>
      </w:r>
    </w:p>
    <w:p w:rsidR="00FA333D" w:rsidRDefault="00FA333D" w:rsidP="00FA333D">
      <w:pPr>
        <w:bidi/>
      </w:pPr>
    </w:p>
    <w:p w:rsidR="00AC7B0A" w:rsidRDefault="00AC7B0A" w:rsidP="00AC7B0A">
      <w:pPr>
        <w:pStyle w:val="1"/>
        <w:bidi/>
        <w:rPr>
          <w:rtl/>
        </w:rPr>
      </w:pPr>
      <w:r>
        <w:rPr>
          <w:rFonts w:hint="cs"/>
          <w:rtl/>
        </w:rPr>
        <w:lastRenderedPageBreak/>
        <w:t>סעיף 12:</w:t>
      </w:r>
    </w:p>
    <w:p w:rsidR="00FA333D" w:rsidRDefault="00FA333D" w:rsidP="00FA333D">
      <w:pPr>
        <w:bidi/>
      </w:pPr>
      <w:bookmarkStart w:id="0" w:name="_GoBack"/>
      <w:bookmarkEnd w:id="0"/>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Pr="00FA333D" w:rsidRDefault="00FA333D" w:rsidP="00FA333D">
      <w:pPr>
        <w:bidi/>
        <w:rPr>
          <w:rtl/>
        </w:rPr>
      </w:pPr>
    </w:p>
    <w:p w:rsidR="008D4B06" w:rsidRDefault="008D4B06" w:rsidP="008D4B06">
      <w:pPr>
        <w:bidi/>
        <w:jc w:val="center"/>
      </w:pPr>
      <w:r>
        <w:rPr>
          <w:noProof/>
        </w:rPr>
        <w:lastRenderedPageBreak/>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0442EE"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0442EE"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lastRenderedPageBreak/>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0442EE"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0442EE"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3D6" w:rsidRDefault="00B933D6" w:rsidP="00A43C3F">
      <w:pPr>
        <w:spacing w:after="0" w:line="240" w:lineRule="auto"/>
      </w:pPr>
      <w:r>
        <w:separator/>
      </w:r>
    </w:p>
  </w:endnote>
  <w:endnote w:type="continuationSeparator" w:id="0">
    <w:p w:rsidR="00B933D6" w:rsidRDefault="00B933D6"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3D6" w:rsidRDefault="00B933D6" w:rsidP="00A43C3F">
      <w:pPr>
        <w:spacing w:after="0" w:line="240" w:lineRule="auto"/>
      </w:pPr>
      <w:r>
        <w:separator/>
      </w:r>
    </w:p>
  </w:footnote>
  <w:footnote w:type="continuationSeparator" w:id="0">
    <w:p w:rsidR="00B933D6" w:rsidRDefault="00B933D6"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251AC"/>
    <w:rsid w:val="00027C4C"/>
    <w:rsid w:val="00032982"/>
    <w:rsid w:val="000442EE"/>
    <w:rsid w:val="000520C2"/>
    <w:rsid w:val="00054BA7"/>
    <w:rsid w:val="00064DA7"/>
    <w:rsid w:val="00066F66"/>
    <w:rsid w:val="000870A2"/>
    <w:rsid w:val="0008779F"/>
    <w:rsid w:val="000D1D63"/>
    <w:rsid w:val="000D5446"/>
    <w:rsid w:val="000D559D"/>
    <w:rsid w:val="000E3272"/>
    <w:rsid w:val="000E3CFC"/>
    <w:rsid w:val="00105691"/>
    <w:rsid w:val="00171D50"/>
    <w:rsid w:val="00176862"/>
    <w:rsid w:val="0019295A"/>
    <w:rsid w:val="001A5982"/>
    <w:rsid w:val="00247A0B"/>
    <w:rsid w:val="00262C6F"/>
    <w:rsid w:val="002B2A5A"/>
    <w:rsid w:val="002B660B"/>
    <w:rsid w:val="00343C28"/>
    <w:rsid w:val="00352145"/>
    <w:rsid w:val="00357BB5"/>
    <w:rsid w:val="00363B66"/>
    <w:rsid w:val="0036455D"/>
    <w:rsid w:val="00372F24"/>
    <w:rsid w:val="00382C7A"/>
    <w:rsid w:val="003B5694"/>
    <w:rsid w:val="003D21E9"/>
    <w:rsid w:val="003D7D41"/>
    <w:rsid w:val="003F25E5"/>
    <w:rsid w:val="004047DB"/>
    <w:rsid w:val="00424154"/>
    <w:rsid w:val="004669B4"/>
    <w:rsid w:val="004B20D3"/>
    <w:rsid w:val="004B5C3E"/>
    <w:rsid w:val="004D1622"/>
    <w:rsid w:val="004D4B98"/>
    <w:rsid w:val="004F3F87"/>
    <w:rsid w:val="00542262"/>
    <w:rsid w:val="00542F21"/>
    <w:rsid w:val="0056702B"/>
    <w:rsid w:val="00571AAF"/>
    <w:rsid w:val="00573319"/>
    <w:rsid w:val="00597C86"/>
    <w:rsid w:val="005D5E2C"/>
    <w:rsid w:val="005F0314"/>
    <w:rsid w:val="005F2AB6"/>
    <w:rsid w:val="006519BB"/>
    <w:rsid w:val="00653EA2"/>
    <w:rsid w:val="00657654"/>
    <w:rsid w:val="006A38A7"/>
    <w:rsid w:val="006C14FE"/>
    <w:rsid w:val="006E01FF"/>
    <w:rsid w:val="006F6CD1"/>
    <w:rsid w:val="00713E23"/>
    <w:rsid w:val="00716252"/>
    <w:rsid w:val="00720B6A"/>
    <w:rsid w:val="00720F17"/>
    <w:rsid w:val="0072275A"/>
    <w:rsid w:val="00733DA7"/>
    <w:rsid w:val="007729B7"/>
    <w:rsid w:val="007C20CC"/>
    <w:rsid w:val="007E17F1"/>
    <w:rsid w:val="007F10E6"/>
    <w:rsid w:val="00850B81"/>
    <w:rsid w:val="0085574C"/>
    <w:rsid w:val="008567C0"/>
    <w:rsid w:val="008858D9"/>
    <w:rsid w:val="00886E9E"/>
    <w:rsid w:val="00890A32"/>
    <w:rsid w:val="00890DFF"/>
    <w:rsid w:val="008B4F80"/>
    <w:rsid w:val="008C40E4"/>
    <w:rsid w:val="008D4B06"/>
    <w:rsid w:val="008E1F42"/>
    <w:rsid w:val="008F3DE0"/>
    <w:rsid w:val="009132A2"/>
    <w:rsid w:val="0097758A"/>
    <w:rsid w:val="00996690"/>
    <w:rsid w:val="009B2CA9"/>
    <w:rsid w:val="009D1751"/>
    <w:rsid w:val="00A03A10"/>
    <w:rsid w:val="00A05895"/>
    <w:rsid w:val="00A214B3"/>
    <w:rsid w:val="00A43C3F"/>
    <w:rsid w:val="00A54D7F"/>
    <w:rsid w:val="00A77D09"/>
    <w:rsid w:val="00AB061D"/>
    <w:rsid w:val="00AC7B0A"/>
    <w:rsid w:val="00AE364B"/>
    <w:rsid w:val="00B02CC3"/>
    <w:rsid w:val="00B7567A"/>
    <w:rsid w:val="00B933D6"/>
    <w:rsid w:val="00BC2703"/>
    <w:rsid w:val="00BE3721"/>
    <w:rsid w:val="00C322A3"/>
    <w:rsid w:val="00C42BC3"/>
    <w:rsid w:val="00C510AE"/>
    <w:rsid w:val="00C576BB"/>
    <w:rsid w:val="00C73EEB"/>
    <w:rsid w:val="00C80B0A"/>
    <w:rsid w:val="00C82142"/>
    <w:rsid w:val="00C95754"/>
    <w:rsid w:val="00CD3CA5"/>
    <w:rsid w:val="00CE0693"/>
    <w:rsid w:val="00D222C3"/>
    <w:rsid w:val="00D2315C"/>
    <w:rsid w:val="00D54E40"/>
    <w:rsid w:val="00D550F8"/>
    <w:rsid w:val="00D82DF7"/>
    <w:rsid w:val="00D84E65"/>
    <w:rsid w:val="00DB5F63"/>
    <w:rsid w:val="00DD25AE"/>
    <w:rsid w:val="00DE5D29"/>
    <w:rsid w:val="00E00036"/>
    <w:rsid w:val="00E360CB"/>
    <w:rsid w:val="00E43666"/>
    <w:rsid w:val="00EA71BD"/>
    <w:rsid w:val="00F07A1C"/>
    <w:rsid w:val="00F50476"/>
    <w:rsid w:val="00F51274"/>
    <w:rsid w:val="00F520D3"/>
    <w:rsid w:val="00F71C2F"/>
    <w:rsid w:val="00F75711"/>
    <w:rsid w:val="00F80FA6"/>
    <w:rsid w:val="00F80FB2"/>
    <w:rsid w:val="00F82C34"/>
    <w:rsid w:val="00F9130D"/>
    <w:rsid w:val="00FA05C1"/>
    <w:rsid w:val="00FA3160"/>
    <w:rsid w:val="00FA333D"/>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B334"/>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6FC1-EBD8-4960-AB35-BC251D92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4660</TotalTime>
  <Pages>10</Pages>
  <Words>1443</Words>
  <Characters>8231</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19</cp:revision>
  <dcterms:created xsi:type="dcterms:W3CDTF">2017-12-01T22:23:00Z</dcterms:created>
  <dcterms:modified xsi:type="dcterms:W3CDTF">2018-11-21T18:41:00Z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