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Pr>
          <w:p>
            <w:pPr>
              <w:spacing w:after="80" w:before="480"/>
              <w:jc w:val="center"/>
            </w:pPr>
            <w:r>
              <w:rPr>
                <w:rFonts w:ascii="Arial" w:cs="Arial" w:eastAsia="Arial" w:hAnsi="Arial"/>
                <w:b/>
                <w:bCs/>
                <w:color w:val="FFFFFF"/>
                <w:sz w:val="64"/>
                <w:szCs w:val="64"/>
              </w:rPr>
              <w:t xml:space="preserve">Synthetic Personas</w:t>
            </w:r>
          </w:p>
          <w:p>
            <w:pPr>
              <w:spacing w:after="80" w:before="0"/>
              <w:jc w:val="center"/>
            </w:pPr>
            <w:r>
              <w:rPr>
                <w:rFonts w:ascii="Arial" w:cs="Arial" w:eastAsia="Arial" w:hAnsi="Arial"/>
                <w:b/>
                <w:bCs/>
                <w:color w:val="E94560"/>
                <w:sz w:val="42"/>
                <w:szCs w:val="42"/>
              </w:rPr>
              <w:t xml:space="preserve">Audience Simulation Engine</w:t>
            </w:r>
          </w:p>
          <w:p>
            <w:pPr>
              <w:spacing w:after="80" w:before="80"/>
              <w:jc w:val="center"/>
            </w:pPr>
            <w:r>
              <w:rPr>
                <w:rFonts w:ascii="Arial" w:cs="Arial" w:eastAsia="Arial" w:hAnsi="Arial"/>
                <w:i/>
                <w:iCs/>
                <w:color w:val="AAAACC"/>
                <w:sz w:val="28"/>
                <w:szCs w:val="28"/>
              </w:rPr>
              <w:t xml:space="preserve">Phased Implementation Plan</w:t>
            </w:r>
          </w:p>
          <w:p>
            <w:pPr>
              <w:spacing w:after="480" w:before="80"/>
              <w:jc w:val="center"/>
            </w:pPr>
            <w:r>
              <w:rPr>
                <w:rFonts w:ascii="Arial" w:cs="Arial" w:eastAsia="Arial" w:hAnsi="Arial"/>
                <w:color w:val="8888AA"/>
                <w:sz w:val="20"/>
                <w:szCs w:val="20"/>
              </w:rPr>
              <w:t xml:space="preserve">Amazon MX Player Fatafat  •  Internal Strategy Document</w:t>
            </w:r>
          </w:p>
        </w:tc>
      </w:tr>
    </w:tbl>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2340"/>
        <w:gridCol w:w="1560"/>
      </w:tblGrid>
      <w:tr>
        <w:trPr>
          <w:tblHeader/>
        </w:trPr>
        <w:tc>
          <w:tcPr>
            <w:tcW w:type="dxa" w:w="2340"/>
            <w:tcBorders>
              <w:top w:val="single" w:color="CCCCCC" w:sz="1"/>
              <w:left w:val="single" w:color="CCCCCC" w:sz="1"/>
              <w:bottom w:val="single" w:color="CCCCCC" w:sz="1"/>
              <w:right w:val="single" w:color="CCCCCC" w:sz="1"/>
            </w:tcBorders>
            <w:shd w:fill="16213E" w:val="clear"/>
            <w:vAlign w:val="center"/>
          </w:tcPr>
          <w:p>
            <w:pPr>
              <w:spacing w:after="80" w:before="80"/>
              <w:jc w:val="center"/>
            </w:pPr>
            <w:r>
              <w:rPr>
                <w:rFonts w:ascii="Arial" w:cs="Arial" w:eastAsia="Arial" w:hAnsi="Arial"/>
                <w:b/>
                <w:bCs/>
                <w:color w:val="FFFFFF"/>
                <w:sz w:val="20"/>
                <w:szCs w:val="20"/>
              </w:rPr>
              <w:t xml:space="preserve">Project</w:t>
            </w:r>
          </w:p>
        </w:tc>
        <w:tc>
          <w:tcPr>
            <w:tcW w:type="dxa" w:w="3120"/>
            <w:tcBorders>
              <w:top w:val="single" w:color="CCCCCC" w:sz="1"/>
              <w:left w:val="single" w:color="CCCCCC" w:sz="1"/>
              <w:bottom w:val="single" w:color="CCCCCC" w:sz="1"/>
              <w:right w:val="single" w:color="CCCCCC" w:sz="1"/>
            </w:tcBorders>
            <w:shd w:fill="16213E" w:val="clear"/>
            <w:vAlign w:val="center"/>
          </w:tcPr>
          <w:p>
            <w:pPr>
              <w:spacing w:after="80" w:before="80"/>
              <w:jc w:val="center"/>
            </w:pPr>
            <w:r>
              <w:rPr>
                <w:rFonts w:ascii="Arial" w:cs="Arial" w:eastAsia="Arial" w:hAnsi="Arial"/>
                <w:b/>
                <w:bCs/>
                <w:color w:val="FFFFFF"/>
                <w:sz w:val="20"/>
                <w:szCs w:val="20"/>
              </w:rPr>
              <w:t xml:space="preserve">Classification</w:t>
            </w:r>
          </w:p>
        </w:tc>
        <w:tc>
          <w:tcPr>
            <w:tcW w:type="dxa" w:w="2340"/>
            <w:tcBorders>
              <w:top w:val="single" w:color="CCCCCC" w:sz="1"/>
              <w:left w:val="single" w:color="CCCCCC" w:sz="1"/>
              <w:bottom w:val="single" w:color="CCCCCC" w:sz="1"/>
              <w:right w:val="single" w:color="CCCCCC" w:sz="1"/>
            </w:tcBorders>
            <w:shd w:fill="16213E" w:val="clear"/>
            <w:vAlign w:val="center"/>
          </w:tcPr>
          <w:p>
            <w:pPr>
              <w:spacing w:after="80" w:before="80"/>
              <w:jc w:val="center"/>
            </w:pPr>
            <w:r>
              <w:rPr>
                <w:rFonts w:ascii="Arial" w:cs="Arial" w:eastAsia="Arial" w:hAnsi="Arial"/>
                <w:b/>
                <w:bCs/>
                <w:color w:val="FFFFFF"/>
                <w:sz w:val="20"/>
                <w:szCs w:val="20"/>
              </w:rPr>
              <w:t xml:space="preserve">Status</w:t>
            </w:r>
          </w:p>
        </w:tc>
        <w:tc>
          <w:tcPr>
            <w:tcW w:type="dxa" w:w="1560"/>
            <w:tcBorders>
              <w:top w:val="single" w:color="CCCCCC" w:sz="1"/>
              <w:left w:val="single" w:color="CCCCCC" w:sz="1"/>
              <w:bottom w:val="single" w:color="CCCCCC" w:sz="1"/>
              <w:right w:val="single" w:color="CCCCCC" w:sz="1"/>
            </w:tcBorders>
            <w:shd w:fill="16213E" w:val="clear"/>
            <w:vAlign w:val="center"/>
          </w:tcPr>
          <w:p>
            <w:pPr>
              <w:spacing w:after="80" w:before="80"/>
              <w:jc w:val="center"/>
            </w:pPr>
            <w:r>
              <w:rPr>
                <w:rFonts w:ascii="Arial" w:cs="Arial" w:eastAsia="Arial" w:hAnsi="Arial"/>
                <w:b/>
                <w:bCs/>
                <w:color w:val="FFFFFF"/>
                <w:sz w:val="20"/>
                <w:szCs w:val="20"/>
              </w:rPr>
              <w:t xml:space="preserve">Version</w:t>
            </w:r>
          </w:p>
        </w:tc>
      </w:tr>
      <w:tr>
        <w:tc>
          <w:tcPr>
            <w:tcW w:type="dxa" w:w="234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val="false"/>
                <w:bCs w:val="false"/>
                <w:color w:val="2D2D2D"/>
                <w:sz w:val="20"/>
                <w:szCs w:val="20"/>
              </w:rPr>
              <w:t xml:space="preserve">Synthetic Personas / Audience Simulation Engine</w:t>
            </w:r>
          </w:p>
        </w:tc>
        <w:tc>
          <w:tcPr>
            <w:tcW w:type="dxa" w:w="312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val="false"/>
                <w:bCs w:val="false"/>
                <w:color w:val="2D2D2D"/>
                <w:sz w:val="20"/>
                <w:szCs w:val="20"/>
              </w:rPr>
              <w:t xml:space="preserve">Internal — Stakeholder Review</w:t>
            </w:r>
          </w:p>
        </w:tc>
        <w:tc>
          <w:tcPr>
            <w:tcW w:type="dxa" w:w="234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val="false"/>
                <w:bCs w:val="false"/>
                <w:color w:val="2D2D2D"/>
                <w:sz w:val="20"/>
                <w:szCs w:val="20"/>
              </w:rPr>
              <w:t xml:space="preserve">Active — Phase 1</w:t>
            </w:r>
          </w:p>
        </w:tc>
        <w:tc>
          <w:tcPr>
            <w:tcW w:type="dxa" w:w="1560"/>
            <w:tcBorders>
              <w:top w:val="single" w:color="CCCCCC" w:sz="1"/>
              <w:left w:val="single" w:color="CCCCCC" w:sz="1"/>
              <w:bottom w:val="single" w:color="CCCCCC" w:sz="1"/>
              <w:right w:val="single" w:color="CCCCCC" w:sz="1"/>
            </w:tcBorders>
            <w:shd w:fill="F2F4F8" w:val="clear"/>
          </w:tcPr>
          <w:p>
            <w:pPr>
              <w:spacing w:after="80" w:before="80"/>
              <w:jc w:val="center"/>
            </w:pPr>
            <w:r>
              <w:rPr>
                <w:rFonts w:ascii="Arial" w:cs="Arial" w:eastAsia="Arial" w:hAnsi="Arial"/>
                <w:b w:val="false"/>
                <w:bCs w:val="false"/>
                <w:color w:val="2D2D2D"/>
                <w:sz w:val="20"/>
                <w:szCs w:val="20"/>
              </w:rPr>
              <w:t xml:space="preserve">v1.0</w:t>
            </w:r>
          </w:p>
        </w:tc>
      </w:tr>
    </w:tbl>
    <w:p>
      <w:pPr>
        <w:spacing w:after="80"/>
      </w:pPr>
      <w:r>
        <w:t xml:space="preserve"/>
      </w:r>
    </w:p>
    <w:p>
      <w:pPr>
        <w:pStyle w:val="Heading1"/>
      </w:pPr>
      <w:r>
        <w:t xml:space="preserve">1. Executive Summary</w:t>
      </w:r>
    </w:p>
    <w:p>
      <w:pPr>
        <w:pStyle w:val="BodyText"/>
      </w:pPr>
      <w:r>
        <w:t xml:space="preserve">Fatafat's growth at Amazon MX Player requires a fundamental shift from reactive content decisions to predictive audience intelligence. Today, content risks — poor onboarding, narrative pacing issues, low retention among key cohorts — are identified only after a show launches, when remediation is expensive or impossible. Audience understanding remains fragmented, with streaming behavioral data and consumer identity profiles living in disconnected systems. There is no live mechanism to detect slate gaps or identify underserved audience segments before they become competitive vulnerabilities.</w:t>
      </w:r>
    </w:p>
    <w:p>
      <w:pPr>
        <w:pStyle w:val="BodyText"/>
      </w:pPr>
      <w:r>
        <w:t xml:space="preserve">The Audience Simulation Engine addresses these structural gaps by merging real-time Fatafat streaming behavioral data with the demographic and interest-based persona profiles already available in the Amazon MX Player Redshift data warehouse. The result is a set of synthesized audience personas — data-driven "pseudo-viewers" — that can be used to evaluate content pre-launch, align commissioning decisions to audience demand, and identify commercial value at the cohort level.</w:t>
      </w:r>
    </w:p>
    <w:p>
      <w:pPr>
        <w:pStyle w:val="Heading3"/>
      </w:pPr>
      <w:r>
        <w:t xml:space="preserve">Problem Statement</w:t>
      </w:r>
    </w:p>
    <w:p>
      <w:pPr>
        <w:pStyle w:val="BodyText"/>
        <w:numPr>
          <w:ilvl w:val="0"/>
          <w:numId w:val="2"/>
        </w:numPr>
      </w:pPr>
      <w:r>
        <w:t xml:space="preserve">Late-stage risk identification: Content onboarding failure, pacing issues, and retention drop-off are caught post-launch when correction is costly</w:t>
      </w:r>
    </w:p>
    <w:p>
      <w:pPr>
        <w:pStyle w:val="BodyText"/>
        <w:numPr>
          <w:ilvl w:val="0"/>
          <w:numId w:val="2"/>
        </w:numPr>
      </w:pPr>
      <w:r>
        <w:t xml:space="preserve">Fragmented audience understanding: Streaming behavioral data and consumer identity/interest profiles exist in silos with no unified audience view</w:t>
      </w:r>
    </w:p>
    <w:p>
      <w:pPr>
        <w:pStyle w:val="BodyText"/>
        <w:numPr>
          <w:ilvl w:val="0"/>
          <w:numId w:val="2"/>
        </w:numPr>
      </w:pPr>
      <w:r>
        <w:t xml:space="preserve">Reactive slate gap detection: No live mechanism to surface underserved audience cohorts or identify content demand signals ahead of commissioning</w:t>
      </w:r>
    </w:p>
    <w:p>
      <w:pPr>
        <w:pStyle w:val="Heading3"/>
      </w:pPr>
      <w:r>
        <w:t xml:space="preserve">Solution Overview</w:t>
      </w:r>
    </w:p>
    <w:p>
      <w:pPr>
        <w:pStyle w:val="BodyText"/>
      </w:pPr>
      <w:r>
        <w:t xml:space="preserve">A three-layer architecture that progresses from raw data unification to synthesized personas to AI-powered simulation:</w:t>
      </w:r>
    </w:p>
    <w:p>
      <w:pPr>
        <w:pStyle w:val="BodyText"/>
        <w:numPr>
          <w:ilvl w:val="0"/>
          <w:numId w:val="2"/>
        </w:numPr>
      </w:pPr>
      <w:r>
        <w:t xml:space="preserve">Layer 1 — Unified Audience Dataset: Link Fatafat streaming behavioral signals with demographic profiles and interest-based persona segments</w:t>
      </w:r>
    </w:p>
    <w:p>
      <w:pPr>
        <w:pStyle w:val="BodyText"/>
        <w:numPr>
          <w:ilvl w:val="0"/>
          <w:numId w:val="2"/>
        </w:numPr>
      </w:pPr>
      <w:r>
        <w:t xml:space="preserve">Layer 2 — Synthesized Persona Set: Construct 5–6 content-first personas covering ~75% of active Fatafat audience, each carrying a behavioral fingerprint, strategic role, and commercial profile</w:t>
      </w:r>
    </w:p>
    <w:p>
      <w:pPr>
        <w:pStyle w:val="BodyText"/>
        <w:numPr>
          <w:ilvl w:val="0"/>
          <w:numId w:val="2"/>
        </w:numPr>
      </w:pPr>
      <w:r>
        <w:t xml:space="preserve">Layer 3 — AI Simulation Engine: Train pseudo-viewer models per persona to evaluate incoming content concepts for engagement prediction, narrative density alignment, and audience-fit scoring</w:t>
      </w:r>
    </w:p>
    <w:p>
      <w:pPr>
        <w:pStyle w:val="Heading3"/>
      </w:pPr>
      <w:r>
        <w:t xml:space="preserve">Expected Outcomes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6213E" w:val="clear"/>
            <w:vAlign w:val="center"/>
          </w:tcPr>
          <w:p>
            <w:pPr>
              <w:spacing w:after="80" w:before="80"/>
              <w:jc w:val="center"/>
            </w:pPr>
            <w:r>
              <w:rPr>
                <w:rFonts w:ascii="Arial" w:cs="Arial" w:eastAsia="Arial" w:hAnsi="Arial"/>
                <w:b/>
                <w:bCs/>
                <w:color w:val="FFFFFF"/>
                <w:sz w:val="20"/>
                <w:szCs w:val="20"/>
              </w:rPr>
              <w:t xml:space="preserve">Outcome</w:t>
            </w:r>
          </w:p>
        </w:tc>
        <w:tc>
          <w:tcPr>
            <w:tcW w:type="dxa" w:w="6560"/>
            <w:tcBorders>
              <w:top w:val="single" w:color="CCCCCC" w:sz="1"/>
              <w:left w:val="single" w:color="CCCCCC" w:sz="1"/>
              <w:bottom w:val="single" w:color="CCCCCC" w:sz="1"/>
              <w:right w:val="single" w:color="CCCCCC" w:sz="1"/>
            </w:tcBorders>
            <w:shd w:fill="16213E" w:val="clear"/>
            <w:vAlign w:val="center"/>
          </w:tcPr>
          <w:p>
            <w:pPr>
              <w:spacing w:after="80" w:before="80"/>
              <w:jc w:val="center"/>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bCs/>
                <w:color w:val="2D2D2D"/>
                <w:sz w:val="20"/>
                <w:szCs w:val="20"/>
              </w:rPr>
              <w:t xml:space="preserve">Pre-launch content scoring</w:t>
            </w:r>
          </w:p>
        </w:tc>
        <w:tc>
          <w:tcPr>
            <w:tcW w:type="dxa" w:w="656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val="false"/>
                <w:bCs w:val="false"/>
                <w:color w:val="2D2D2D"/>
                <w:sz w:val="20"/>
                <w:szCs w:val="20"/>
              </w:rPr>
              <w:t xml:space="preserve">Directional engagement predictions for new shows before production lock-in, reducing late-stage risk</w:t>
            </w:r>
          </w:p>
        </w:tc>
      </w:tr>
      <w:tr>
        <w:tc>
          <w:tcPr>
            <w:tcW w:type="dxa" w:w="2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color w:val="2D2D2D"/>
                <w:sz w:val="20"/>
                <w:szCs w:val="20"/>
              </w:rPr>
              <w:t xml:space="preserve">Audience-aligned commissioning</w:t>
            </w:r>
          </w:p>
        </w:tc>
        <w:tc>
          <w:tcPr>
            <w:tcW w:type="dxa" w:w="6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Persona-mapped slate gaps surfaced in real time to inform commissioning decisions against live demand signals</w:t>
            </w:r>
          </w:p>
        </w:tc>
      </w:tr>
      <w:tr>
        <w:tc>
          <w:tcPr>
            <w:tcW w:type="dxa" w:w="280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bCs/>
                <w:color w:val="2D2D2D"/>
                <w:sz w:val="20"/>
                <w:szCs w:val="20"/>
              </w:rPr>
              <w:t xml:space="preserve">Commercial profile matching</w:t>
            </w:r>
          </w:p>
        </w:tc>
        <w:tc>
          <w:tcPr>
            <w:tcW w:type="dxa" w:w="656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val="false"/>
                <w:bCs w:val="false"/>
                <w:color w:val="2D2D2D"/>
                <w:sz w:val="20"/>
                <w:szCs w:val="20"/>
              </w:rPr>
              <w:t xml:space="preserve">Interest and demographic persona overlays enabling precision ad targeting and sponsorship value identification</w:t>
            </w:r>
          </w:p>
        </w:tc>
      </w:tr>
      <w:tr>
        <w:tc>
          <w:tcPr>
            <w:tcW w:type="dxa" w:w="2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color w:val="2D2D2D"/>
                <w:sz w:val="20"/>
                <w:szCs w:val="20"/>
              </w:rPr>
              <w:t xml:space="preserve">Retention intelligence</w:t>
            </w:r>
          </w:p>
        </w:tc>
        <w:tc>
          <w:tcPr>
            <w:tcW w:type="dxa" w:w="6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Episode-level retention signatures per persona, enabling proactive content intervention during production</w:t>
            </w:r>
          </w:p>
        </w:tc>
      </w:tr>
    </w:tbl>
    <w:p>
      <w:pPr>
        <w:spacing w:after="80"/>
      </w:pPr>
      <w:r>
        <w:t xml:space="preserve"/>
      </w:r>
    </w:p>
    <w:p>
      <w:pPr>
        <w:pStyle w:val="Heading1"/>
      </w:pPr>
      <w:r>
        <w:t xml:space="preserve">2. Architecture Overview</w:t>
      </w:r>
    </w:p>
    <w:p>
      <w:pPr>
        <w:pStyle w:val="BodyText"/>
      </w:pPr>
      <w:r>
        <w:t xml:space="preserve">The Audience Simulation Engine is designed as a layered architecture, where each layer builds on the outputs of the previous. The system is grounded in live Redshift data and designed to produce actionable, confidence-scored outputs for content and commercial teams.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8"/>
              <w:left w:val="dashed" w:color="999999" w:sz="8"/>
              <w:bottom w:val="dashed" w:color="999999" w:sz="8"/>
              <w:right w:val="dashed" w:color="999999" w:sz="8"/>
            </w:tcBorders>
            <w:shd w:fill="F8F9FA" w:val="clear"/>
          </w:tcPr>
          <w:p>
            <w:pPr>
              <w:spacing w:after="60" w:before="280"/>
              <w:jc w:val="center"/>
            </w:pPr>
            <w:r>
              <w:rPr>
                <w:rFonts w:ascii="Arial" w:cs="Arial" w:eastAsia="Arial" w:hAnsi="Arial"/>
                <w:color w:val="AAAAAA"/>
                <w:sz w:val="36"/>
                <w:szCs w:val="36"/>
              </w:rPr>
              <w:t xml:space="preserve">□  □  □</w:t>
            </w:r>
          </w:p>
          <w:p>
            <w:pPr>
              <w:spacing w:after="60" w:before="0"/>
              <w:jc w:val="center"/>
            </w:pPr>
            <w:r>
              <w:rPr>
                <w:rFonts w:ascii="Arial" w:cs="Arial" w:eastAsia="Arial" w:hAnsi="Arial"/>
                <w:b/>
                <w:bCs/>
                <w:color w:val="444444"/>
                <w:sz w:val="22"/>
                <w:szCs w:val="22"/>
              </w:rPr>
              <w:t xml:space="preserve">Architecture Diagram — Three-Layer Data Flow: Unified Dataset → Synthesized Personas → AI Simulation Engine</w:t>
            </w:r>
          </w:p>
          <w:p>
            <w:pPr>
              <w:spacing w:after="280" w:before="0"/>
              <w:jc w:val="center"/>
            </w:pPr>
            <w:r>
              <w:rPr>
                <w:rFonts w:ascii="Arial" w:cs="Arial" w:eastAsia="Arial" w:hAnsi="Arial"/>
                <w:i/>
                <w:iCs/>
                <w:color w:val="888888"/>
                <w:sz w:val="18"/>
                <w:szCs w:val="18"/>
              </w:rPr>
              <w:t xml:space="preserve">[ Diagram to be inserted ]</w:t>
            </w:r>
          </w:p>
        </w:tc>
      </w:tr>
    </w:tbl>
    <w:p>
      <w:pPr>
        <w:pStyle w:val="Caption"/>
      </w:pPr>
      <w:r>
        <w:t xml:space="preserve">Figure 1: High-level architecture showing data flow from raw behavioral signals through persona construction to AI-powered simulation outputs</w:t>
      </w:r>
    </w:p>
    <w:p>
      <w:pPr>
        <w:pStyle w:val="Heading2"/>
      </w:pPr>
      <w:r>
        <w:t xml:space="preserve">2.1 Layer 1 — Unified Audience Dataset</w:t>
      </w:r>
    </w:p>
    <w:p>
      <w:pPr>
        <w:pStyle w:val="BodyText"/>
      </w:pPr>
      <w:r>
        <w:t xml:space="preserve">The foundation of the system. Raw streaming behavioral signals from Fatafat are joined with demographic and interest-based persona profiles to create a single, anonymized audience dataset.</w:t>
      </w:r>
    </w:p>
    <w:p>
      <w:pPr>
        <w:pStyle w:val="BodyText"/>
        <w:numPr>
          <w:ilvl w:val="0"/>
          <w:numId w:val="2"/>
        </w:numPr>
      </w:pPr>
      <w:r>
        <w:t xml:space="preserve">Source 1: Fatafat streaming engagement data — retention curves, episode completion rates, session depth, genre affinity, drop-off patterns</w:t>
      </w:r>
    </w:p>
    <w:p>
      <w:pPr>
        <w:pStyle w:val="BodyText"/>
        <w:numPr>
          <w:ilvl w:val="0"/>
          <w:numId w:val="2"/>
        </w:numPr>
      </w:pPr>
      <w:r>
        <w:t xml:space="preserve">Source 2: Player interaction signals — seek behavior, playback speed preferences, replay patterns, buffering impact</w:t>
      </w:r>
    </w:p>
    <w:p>
      <w:pPr>
        <w:pStyle w:val="BodyText"/>
        <w:numPr>
          <w:ilvl w:val="0"/>
          <w:numId w:val="2"/>
        </w:numPr>
      </w:pPr>
      <w:r>
        <w:t xml:space="preserve">Source 3: Demographic profiles — age group and gender for ~228M users from ML prediction, Amazon identity, and declared MX sources</w:t>
      </w:r>
    </w:p>
    <w:p>
      <w:pPr>
        <w:pStyle w:val="BodyText"/>
        <w:numPr>
          <w:ilvl w:val="0"/>
          <w:numId w:val="2"/>
        </w:numPr>
      </w:pPr>
      <w:r>
        <w:t xml:space="preserve">Source 4: Interest/persona segmentation — ~181M users (ML-derived) and ~54M users (Amazon-sourced) tagged across 16 consumer interest categories</w:t>
      </w:r>
    </w:p>
    <w:p>
      <w:pPr>
        <w:pStyle w:val="BodyText"/>
        <w:numPr>
          <w:ilvl w:val="0"/>
          <w:numId w:val="2"/>
        </w:numPr>
      </w:pPr>
      <w:r>
        <w:t xml:space="preserve">Linkage methodology: UUID-based join across all tables, preserving anonymization and enabling cohort-level analysis without PII exposure</w:t>
      </w:r>
    </w:p>
    <w:p>
      <w:pPr>
        <w:pStyle w:val="Heading2"/>
      </w:pPr>
      <w:r>
        <w:t xml:space="preserve">2.2 Layer 2 — Synthesized Persona Set</w:t>
      </w:r>
    </w:p>
    <w:p>
      <w:pPr>
        <w:pStyle w:val="BodyText"/>
      </w:pPr>
      <w:r>
        <w:t xml:space="preserve">From the unified dataset, behavioral clustering yields 5–6 content-first personas that together account for approximately 75% of the active Fatafat audience. Each persona is a composite profile, not a demographic segment.</w:t>
      </w:r>
    </w:p>
    <w:p>
      <w:pPr>
        <w:pStyle w:val="BodyText"/>
        <w:numPr>
          <w:ilvl w:val="0"/>
          <w:numId w:val="2"/>
        </w:numPr>
      </w:pPr>
      <w:r>
        <w:t xml:space="preserve">Content identity: Primary genre preferences, narrative complexity tolerance, episode length affinity, series vs. film consumption patterns</w:t>
      </w:r>
    </w:p>
    <w:p>
      <w:pPr>
        <w:pStyle w:val="BodyText"/>
        <w:numPr>
          <w:ilvl w:val="0"/>
          <w:numId w:val="2"/>
        </w:numPr>
      </w:pPr>
      <w:r>
        <w:t xml:space="preserve">Strategic role: Classified as Grow (acquisition-focused, high potential), Nourish (engaged core, depth-oriented), or Sustain (habitual, volume-driven)</w:t>
      </w:r>
    </w:p>
    <w:p>
      <w:pPr>
        <w:pStyle w:val="BodyText"/>
        <w:numPr>
          <w:ilvl w:val="0"/>
          <w:numId w:val="2"/>
        </w:numPr>
      </w:pPr>
      <w:r>
        <w:t xml:space="preserve">Retention signature: Characteristic retention curve shape, typical drop-off point, episode completion rate, binge propensity</w:t>
      </w:r>
    </w:p>
    <w:p>
      <w:pPr>
        <w:pStyle w:val="BodyText"/>
        <w:numPr>
          <w:ilvl w:val="0"/>
          <w:numId w:val="2"/>
        </w:numPr>
      </w:pPr>
      <w:r>
        <w:t xml:space="preserve">Commercial profile: Dominant interest panel memberships, purchase intent signals, affinity with advertiser categories</w:t>
      </w:r>
    </w:p>
    <w:p>
      <w:pPr>
        <w:pStyle w:val="Heading2"/>
      </w:pPr>
      <w:r>
        <w:t xml:space="preserve">2.3 Layer 3 — AI Simulation Engine</w:t>
      </w:r>
    </w:p>
    <w:p>
      <w:pPr>
        <w:pStyle w:val="BodyText"/>
      </w:pPr>
      <w:r>
        <w:t xml:space="preserve">Pseudo-viewer models trained per persona evaluate incoming content concepts and scripts for predicted audience response. Outputs are directional and confidence-scored, designed for integration into commissioning and content development workflows.</w:t>
      </w:r>
    </w:p>
    <w:p>
      <w:pPr>
        <w:pStyle w:val="BodyText"/>
        <w:numPr>
          <w:ilvl w:val="0"/>
          <w:numId w:val="2"/>
        </w:numPr>
      </w:pPr>
      <w:r>
        <w:t xml:space="preserve">Engagement prediction: Estimated retention curve trajectory and completion likelihood per persona for a given content concept</w:t>
      </w:r>
    </w:p>
    <w:p>
      <w:pPr>
        <w:pStyle w:val="BodyText"/>
        <w:numPr>
          <w:ilvl w:val="0"/>
          <w:numId w:val="2"/>
        </w:numPr>
      </w:pPr>
      <w:r>
        <w:t xml:space="preserve">Narrative density alignment: Match between content complexity/pacing and persona tolerance profile</w:t>
      </w:r>
    </w:p>
    <w:p>
      <w:pPr>
        <w:pStyle w:val="BodyText"/>
        <w:numPr>
          <w:ilvl w:val="0"/>
          <w:numId w:val="2"/>
        </w:numPr>
      </w:pPr>
      <w:r>
        <w:t xml:space="preserve">Audience-fit scoring: Multi-dimensional compatibility score across retention, interest alignment, and demographic fit</w:t>
      </w:r>
    </w:p>
    <w:p>
      <w:pPr>
        <w:pStyle w:val="BodyText"/>
        <w:numPr>
          <w:ilvl w:val="0"/>
          <w:numId w:val="2"/>
        </w:numPr>
      </w:pPr>
      <w:r>
        <w:t xml:space="preserve">Slate gap detection: Real-time identification of content demand signals not currently served by the active Fatafat slate</w:t>
      </w:r>
    </w:p>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8"/>
              <w:left w:val="dashed" w:color="999999" w:sz="8"/>
              <w:bottom w:val="dashed" w:color="999999" w:sz="8"/>
              <w:right w:val="dashed" w:color="999999" w:sz="8"/>
            </w:tcBorders>
            <w:shd w:fill="F8F9FA" w:val="clear"/>
          </w:tcPr>
          <w:p>
            <w:pPr>
              <w:spacing w:after="60" w:before="280"/>
              <w:jc w:val="center"/>
            </w:pPr>
            <w:r>
              <w:rPr>
                <w:rFonts w:ascii="Arial" w:cs="Arial" w:eastAsia="Arial" w:hAnsi="Arial"/>
                <w:color w:val="AAAAAA"/>
                <w:sz w:val="36"/>
                <w:szCs w:val="36"/>
              </w:rPr>
              <w:t xml:space="preserve">□  □  □</w:t>
            </w:r>
          </w:p>
          <w:p>
            <w:pPr>
              <w:spacing w:after="60" w:before="0"/>
              <w:jc w:val="center"/>
            </w:pPr>
            <w:r>
              <w:rPr>
                <w:rFonts w:ascii="Arial" w:cs="Arial" w:eastAsia="Arial" w:hAnsi="Arial"/>
                <w:b/>
                <w:bCs/>
                <w:color w:val="444444"/>
                <w:sz w:val="22"/>
                <w:szCs w:val="22"/>
              </w:rPr>
              <w:t xml:space="preserve">Persona Architecture Diagram — Grow / Nourish / Sustain Strategic Role Classification</w:t>
            </w:r>
          </w:p>
          <w:p>
            <w:pPr>
              <w:spacing w:after="280" w:before="0"/>
              <w:jc w:val="center"/>
            </w:pPr>
            <w:r>
              <w:rPr>
                <w:rFonts w:ascii="Arial" w:cs="Arial" w:eastAsia="Arial" w:hAnsi="Arial"/>
                <w:i/>
                <w:iCs/>
                <w:color w:val="888888"/>
                <w:sz w:val="18"/>
                <w:szCs w:val="18"/>
              </w:rPr>
              <w:t xml:space="preserve">[ Diagram to be inserted ]</w:t>
            </w:r>
          </w:p>
        </w:tc>
      </w:tr>
    </w:tbl>
    <w:p>
      <w:pPr>
        <w:pStyle w:val="Caption"/>
      </w:pPr>
      <w:r>
        <w:t xml:space="preserve">Figure 2: Persona strategic role taxonomy showing audience segments mapped to Grow, Nourish, and Sustain categories with behavioral signatures</w:t>
      </w:r>
    </w:p>
    <w:p>
      <w:pPr>
        <w:spacing w:after="80"/>
      </w:pPr>
      <w:r>
        <w:t xml:space="preserve"/>
      </w:r>
    </w:p>
    <w:p>
      <w:pPr>
        <w:pStyle w:val="Heading1"/>
      </w:pPr>
      <w:r>
        <w:t xml:space="preserve">3. Data Foundation — Available Assets</w:t>
      </w:r>
    </w:p>
    <w:p>
      <w:pPr>
        <w:pStyle w:val="BodyText"/>
      </w:pPr>
      <w:r>
        <w:t xml:space="preserve">All data sources required for Phase 1 are available in the Amazon MX Player Redshift data warehouse (AMXP-BI-MCP-PROD). The tables below represent live, production-grade data that can be queried directly — the project is not dependent on CSV extracts or manual data pulls.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20"/>
        <w:gridCol w:w="1440"/>
        <w:gridCol w:w="1440"/>
        <w:gridCol w:w="3960"/>
      </w:tblGrid>
      <w:tr>
        <w:trPr>
          <w:tblHeader/>
        </w:trPr>
        <w:tc>
          <w:tcPr>
            <w:tcW w:type="dxa" w:w="2520"/>
            <w:tcBorders>
              <w:top w:val="single" w:color="CCCCCC" w:sz="1"/>
              <w:left w:val="single" w:color="CCCCCC" w:sz="1"/>
              <w:bottom w:val="single" w:color="CCCCCC" w:sz="1"/>
              <w:right w:val="single" w:color="CCCCCC" w:sz="1"/>
            </w:tcBorders>
            <w:shd w:fill="16213E" w:val="clear"/>
            <w:vAlign w:val="center"/>
          </w:tcPr>
          <w:p>
            <w:pPr>
              <w:spacing w:after="80" w:before="80"/>
              <w:jc w:val="center"/>
            </w:pPr>
            <w:r>
              <w:rPr>
                <w:rFonts w:ascii="Arial" w:cs="Arial" w:eastAsia="Arial" w:hAnsi="Arial"/>
                <w:b/>
                <w:bCs/>
                <w:color w:val="FFFFFF"/>
                <w:sz w:val="20"/>
                <w:szCs w:val="20"/>
              </w:rPr>
              <w:t xml:space="preserve">Table / Source</w:t>
            </w:r>
          </w:p>
        </w:tc>
        <w:tc>
          <w:tcPr>
            <w:tcW w:type="dxa" w:w="1440"/>
            <w:tcBorders>
              <w:top w:val="single" w:color="CCCCCC" w:sz="1"/>
              <w:left w:val="single" w:color="CCCCCC" w:sz="1"/>
              <w:bottom w:val="single" w:color="CCCCCC" w:sz="1"/>
              <w:right w:val="single" w:color="CCCCCC" w:sz="1"/>
            </w:tcBorders>
            <w:shd w:fill="16213E" w:val="clear"/>
            <w:vAlign w:val="center"/>
          </w:tcPr>
          <w:p>
            <w:pPr>
              <w:spacing w:after="80" w:before="80"/>
              <w:jc w:val="center"/>
            </w:pPr>
            <w:r>
              <w:rPr>
                <w:rFonts w:ascii="Arial" w:cs="Arial" w:eastAsia="Arial" w:hAnsi="Arial"/>
                <w:b/>
                <w:bCs/>
                <w:color w:val="FFFFFF"/>
                <w:sz w:val="20"/>
                <w:szCs w:val="20"/>
              </w:rPr>
              <w:t xml:space="preserve">Data Domain</w:t>
            </w:r>
          </w:p>
        </w:tc>
        <w:tc>
          <w:tcPr>
            <w:tcW w:type="dxa" w:w="1440"/>
            <w:tcBorders>
              <w:top w:val="single" w:color="CCCCCC" w:sz="1"/>
              <w:left w:val="single" w:color="CCCCCC" w:sz="1"/>
              <w:bottom w:val="single" w:color="CCCCCC" w:sz="1"/>
              <w:right w:val="single" w:color="CCCCCC" w:sz="1"/>
            </w:tcBorders>
            <w:shd w:fill="16213E" w:val="clear"/>
            <w:vAlign w:val="center"/>
          </w:tcPr>
          <w:p>
            <w:pPr>
              <w:spacing w:after="80" w:before="80"/>
              <w:jc w:val="center"/>
            </w:pPr>
            <w:r>
              <w:rPr>
                <w:rFonts w:ascii="Arial" w:cs="Arial" w:eastAsia="Arial" w:hAnsi="Arial"/>
                <w:b/>
                <w:bCs/>
                <w:color w:val="FFFFFF"/>
                <w:sz w:val="20"/>
                <w:szCs w:val="20"/>
              </w:rPr>
              <w:t xml:space="preserve">Refresh</w:t>
            </w:r>
          </w:p>
        </w:tc>
        <w:tc>
          <w:tcPr>
            <w:tcW w:type="dxa" w:w="3960"/>
            <w:tcBorders>
              <w:top w:val="single" w:color="CCCCCC" w:sz="1"/>
              <w:left w:val="single" w:color="CCCCCC" w:sz="1"/>
              <w:bottom w:val="single" w:color="CCCCCC" w:sz="1"/>
              <w:right w:val="single" w:color="CCCCCC" w:sz="1"/>
            </w:tcBorders>
            <w:shd w:fill="16213E" w:val="clear"/>
            <w:vAlign w:val="center"/>
          </w:tcPr>
          <w:p>
            <w:pPr>
              <w:spacing w:after="80" w:before="80"/>
              <w:jc w:val="center"/>
            </w:pPr>
            <w:r>
              <w:rPr>
                <w:rFonts w:ascii="Arial" w:cs="Arial" w:eastAsia="Arial" w:hAnsi="Arial"/>
                <w:b/>
                <w:bCs/>
                <w:color w:val="FFFFFF"/>
                <w:sz w:val="20"/>
                <w:szCs w:val="20"/>
              </w:rPr>
              <w:t xml:space="preserve">Key Signals</w:t>
            </w:r>
          </w:p>
        </w:tc>
      </w:tr>
      <w:tr>
        <w:tc>
          <w:tcPr>
            <w:tcW w:type="dxa" w:w="2520"/>
            <w:tcBorders>
              <w:top w:val="single" w:color="CCCCCC" w:sz="1"/>
              <w:left w:val="single" w:color="CCCCCC" w:sz="1"/>
              <w:bottom w:val="single" w:color="CCCCCC" w:sz="1"/>
              <w:right w:val="single" w:color="CCCCCC" w:sz="1"/>
            </w:tcBorders>
            <w:shd w:fill="F2F4F8" w:val="clear"/>
          </w:tcPr>
          <w:p>
            <w:pPr>
              <w:spacing w:after="80" w:before="80"/>
            </w:pPr>
            <w:r>
              <w:rPr>
                <w:rFonts w:ascii="Courier New" w:cs="Courier New" w:eastAsia="Courier New" w:hAnsi="Courier New"/>
                <w:color w:val="0F3460"/>
                <w:sz w:val="18"/>
                <w:szCs w:val="18"/>
              </w:rPr>
              <w:t xml:space="preserve">fatafat.mxp_fatafat_player_engagement</w:t>
            </w:r>
          </w:p>
        </w:tc>
        <w:tc>
          <w:tcPr>
            <w:tcW w:type="dxa" w:w="144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bCs/>
                <w:color w:val="2D2D2D"/>
                <w:sz w:val="20"/>
                <w:szCs w:val="20"/>
              </w:rPr>
              <w:t xml:space="preserve">Streaming Behavioral</w:t>
            </w:r>
          </w:p>
        </w:tc>
        <w:tc>
          <w:tcPr>
            <w:tcW w:type="dxa" w:w="144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val="false"/>
                <w:bCs w:val="false"/>
                <w:color w:val="2D2D2D"/>
                <w:sz w:val="20"/>
                <w:szCs w:val="20"/>
              </w:rPr>
              <w:t xml:space="preserve">Live / Daily</w:t>
            </w:r>
          </w:p>
        </w:tc>
        <w:tc>
          <w:tcPr>
            <w:tcW w:type="dxa" w:w="396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val="false"/>
                <w:bCs w:val="false"/>
                <w:color w:val="2D2D2D"/>
                <w:sz w:val="20"/>
                <w:szCs w:val="20"/>
              </w:rPr>
              <w:t xml:space="preserve">Retention curves, completion rates, session depth, show affinity, drop-off events, genre engagement patterns</w:t>
            </w:r>
          </w:p>
        </w:tc>
      </w:tr>
      <w:tr>
        <w:tc>
          <w:tcPr>
            <w:tcW w:type="dxa" w:w="2520"/>
            <w:tcBorders>
              <w:top w:val="single" w:color="CCCCCC" w:sz="1"/>
              <w:left w:val="single" w:color="CCCCCC" w:sz="1"/>
              <w:bottom w:val="single" w:color="CCCCCC" w:sz="1"/>
              <w:right w:val="single" w:color="CCCCCC" w:sz="1"/>
            </w:tcBorders>
            <w:shd w:fill="FFFFFF" w:val="clear"/>
          </w:tcPr>
          <w:p>
            <w:pPr>
              <w:spacing w:after="80" w:before="80"/>
            </w:pPr>
            <w:r>
              <w:rPr>
                <w:rFonts w:ascii="Courier New" w:cs="Courier New" w:eastAsia="Courier New" w:hAnsi="Courier New"/>
                <w:color w:val="0F3460"/>
                <w:sz w:val="18"/>
                <w:szCs w:val="18"/>
              </w:rPr>
              <w:t xml:space="preserve">fatafat.mxp_fatafat_player_interaction_v2</w:t>
            </w:r>
          </w:p>
        </w:tc>
        <w:tc>
          <w:tcPr>
            <w:tcW w:type="dxa" w:w="144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color w:val="2D2D2D"/>
                <w:sz w:val="20"/>
                <w:szCs w:val="20"/>
              </w:rPr>
              <w:t xml:space="preserve">Player Interaction</w:t>
            </w:r>
          </w:p>
        </w:tc>
        <w:tc>
          <w:tcPr>
            <w:tcW w:type="dxa" w:w="144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Live / Daily</w:t>
            </w:r>
          </w:p>
        </w:tc>
        <w:tc>
          <w:tcPr>
            <w:tcW w:type="dxa" w:w="39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Seek behavior, playback speed selection, replay events, buffering impact on session continuity</w:t>
            </w:r>
          </w:p>
        </w:tc>
      </w:tr>
      <w:tr>
        <w:tc>
          <w:tcPr>
            <w:tcW w:type="dxa" w:w="2520"/>
            <w:tcBorders>
              <w:top w:val="single" w:color="CCCCCC" w:sz="1"/>
              <w:left w:val="single" w:color="CCCCCC" w:sz="1"/>
              <w:bottom w:val="single" w:color="CCCCCC" w:sz="1"/>
              <w:right w:val="single" w:color="CCCCCC" w:sz="1"/>
            </w:tcBorders>
            <w:shd w:fill="F2F4F8" w:val="clear"/>
          </w:tcPr>
          <w:p>
            <w:pPr>
              <w:spacing w:after="80" w:before="80"/>
            </w:pPr>
            <w:r>
              <w:rPr>
                <w:rFonts w:ascii="Courier New" w:cs="Courier New" w:eastAsia="Courier New" w:hAnsi="Courier New"/>
                <w:color w:val="0F3460"/>
                <w:sz w:val="18"/>
                <w:szCs w:val="18"/>
              </w:rPr>
              <w:t xml:space="preserve">mxp_age_gender_details_table_v3</w:t>
            </w:r>
          </w:p>
        </w:tc>
        <w:tc>
          <w:tcPr>
            <w:tcW w:type="dxa" w:w="144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bCs/>
                <w:color w:val="2D2D2D"/>
                <w:sz w:val="20"/>
                <w:szCs w:val="20"/>
              </w:rPr>
              <w:t xml:space="preserve">User Demographics</w:t>
            </w:r>
          </w:p>
        </w:tc>
        <w:tc>
          <w:tcPr>
            <w:tcW w:type="dxa" w:w="144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val="false"/>
                <w:bCs w:val="false"/>
                <w:color w:val="2D2D2D"/>
                <w:sz w:val="20"/>
                <w:szCs w:val="20"/>
              </w:rPr>
              <w:t xml:space="preserve">Snapshot ~228M users</w:t>
            </w:r>
          </w:p>
        </w:tc>
        <w:tc>
          <w:tcPr>
            <w:tcW w:type="dxa" w:w="396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val="false"/>
                <w:bCs w:val="false"/>
                <w:color w:val="2D2D2D"/>
                <w:sz w:val="20"/>
                <w:szCs w:val="20"/>
              </w:rPr>
              <w:t xml:space="preserve">UUID, age_group (18-24 through 65+), gender (Male/Female), source: ML / Amazon / Declared MX</w:t>
            </w:r>
          </w:p>
        </w:tc>
      </w:tr>
      <w:tr>
        <w:tc>
          <w:tcPr>
            <w:tcW w:type="dxa" w:w="2520"/>
            <w:tcBorders>
              <w:top w:val="single" w:color="CCCCCC" w:sz="1"/>
              <w:left w:val="single" w:color="CCCCCC" w:sz="1"/>
              <w:bottom w:val="single" w:color="CCCCCC" w:sz="1"/>
              <w:right w:val="single" w:color="CCCCCC" w:sz="1"/>
            </w:tcBorders>
            <w:shd w:fill="FFFFFF" w:val="clear"/>
          </w:tcPr>
          <w:p>
            <w:pPr>
              <w:spacing w:after="80" w:before="80"/>
            </w:pPr>
            <w:r>
              <w:rPr>
                <w:rFonts w:ascii="Courier New" w:cs="Courier New" w:eastAsia="Courier New" w:hAnsi="Courier New"/>
                <w:color w:val="0F3460"/>
                <w:sz w:val="18"/>
                <w:szCs w:val="18"/>
              </w:rPr>
              <w:t xml:space="preserve">mxp_persona_details_table_v3</w:t>
            </w:r>
          </w:p>
        </w:tc>
        <w:tc>
          <w:tcPr>
            <w:tcW w:type="dxa" w:w="144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color w:val="2D2D2D"/>
                <w:sz w:val="20"/>
                <w:szCs w:val="20"/>
              </w:rPr>
              <w:t xml:space="preserve">Interest Segments</w:t>
            </w:r>
          </w:p>
        </w:tc>
        <w:tc>
          <w:tcPr>
            <w:tcW w:type="dxa" w:w="144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181M ML + 54M Amazon</w:t>
            </w:r>
          </w:p>
        </w:tc>
        <w:tc>
          <w:tcPr>
            <w:tcW w:type="dxa" w:w="39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UUID, persona_name (16 interest categories incl. Fashion, Beauty, Electronics, Travel), source, process_date</w:t>
            </w:r>
          </w:p>
        </w:tc>
      </w:tr>
      <w:tr>
        <w:tc>
          <w:tcPr>
            <w:tcW w:type="dxa" w:w="2520"/>
            <w:tcBorders>
              <w:top w:val="single" w:color="CCCCCC" w:sz="1"/>
              <w:left w:val="single" w:color="CCCCCC" w:sz="1"/>
              <w:bottom w:val="single" w:color="CCCCCC" w:sz="1"/>
              <w:right w:val="single" w:color="CCCCCC" w:sz="1"/>
            </w:tcBorders>
            <w:shd w:fill="F2F4F8" w:val="clear"/>
          </w:tcPr>
          <w:p>
            <w:pPr>
              <w:spacing w:after="80" w:before="80"/>
            </w:pPr>
            <w:r>
              <w:rPr>
                <w:rFonts w:ascii="Courier New" w:cs="Courier New" w:eastAsia="Courier New" w:hAnsi="Courier New"/>
                <w:color w:val="0F3460"/>
                <w:sz w:val="18"/>
                <w:szCs w:val="18"/>
              </w:rPr>
              <w:t xml:space="preserve">daily_cms_data_table</w:t>
            </w:r>
          </w:p>
        </w:tc>
        <w:tc>
          <w:tcPr>
            <w:tcW w:type="dxa" w:w="144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bCs/>
                <w:color w:val="2D2D2D"/>
                <w:sz w:val="20"/>
                <w:szCs w:val="20"/>
              </w:rPr>
              <w:t xml:space="preserve">Content Metadata</w:t>
            </w:r>
          </w:p>
        </w:tc>
        <w:tc>
          <w:tcPr>
            <w:tcW w:type="dxa" w:w="144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val="false"/>
                <w:bCs w:val="false"/>
                <w:color w:val="2D2D2D"/>
                <w:sz w:val="20"/>
                <w:szCs w:val="20"/>
              </w:rPr>
              <w:t xml:space="preserve">Daily</w:t>
            </w:r>
          </w:p>
        </w:tc>
        <w:tc>
          <w:tcPr>
            <w:tcW w:type="dxa" w:w="396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val="false"/>
                <w:bCs w:val="false"/>
                <w:color w:val="2D2D2D"/>
                <w:sz w:val="20"/>
                <w:szCs w:val="20"/>
              </w:rPr>
              <w:t xml:space="preserve">Show names, genres, episode metadata, launch dates, content classification</w:t>
            </w:r>
          </w:p>
        </w:tc>
      </w:tr>
      <w:tr>
        <w:tc>
          <w:tcPr>
            <w:tcW w:type="dxa" w:w="2520"/>
            <w:tcBorders>
              <w:top w:val="single" w:color="CCCCCC" w:sz="1"/>
              <w:left w:val="single" w:color="CCCCCC" w:sz="1"/>
              <w:bottom w:val="single" w:color="CCCCCC" w:sz="1"/>
              <w:right w:val="single" w:color="CCCCCC" w:sz="1"/>
            </w:tcBorders>
            <w:shd w:fill="FFFFFF" w:val="clear"/>
          </w:tcPr>
          <w:p>
            <w:pPr>
              <w:spacing w:after="80" w:before="80"/>
            </w:pPr>
            <w:r>
              <w:rPr>
                <w:rFonts w:ascii="Courier New" w:cs="Courier New" w:eastAsia="Courier New" w:hAnsi="Courier New"/>
                <w:color w:val="0F3460"/>
                <w:sz w:val="18"/>
                <w:szCs w:val="18"/>
              </w:rPr>
              <w:t xml:space="preserve">fatafat.mxp_fatafat_user_membership</w:t>
            </w:r>
          </w:p>
        </w:tc>
        <w:tc>
          <w:tcPr>
            <w:tcW w:type="dxa" w:w="144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color w:val="2D2D2D"/>
                <w:sz w:val="20"/>
                <w:szCs w:val="20"/>
              </w:rPr>
              <w:t xml:space="preserve">Subscriber Behavior</w:t>
            </w:r>
          </w:p>
        </w:tc>
        <w:tc>
          <w:tcPr>
            <w:tcW w:type="dxa" w:w="144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Live / Daily</w:t>
            </w:r>
          </w:p>
        </w:tc>
        <w:tc>
          <w:tcPr>
            <w:tcW w:type="dxa" w:w="39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Membership tier, subscription tenure, renewal patterns, subscriber engagement depth</w:t>
            </w:r>
          </w:p>
        </w:tc>
      </w:tr>
      <w:tr>
        <w:tc>
          <w:tcPr>
            <w:tcW w:type="dxa" w:w="2520"/>
            <w:tcBorders>
              <w:top w:val="single" w:color="CCCCCC" w:sz="1"/>
              <w:left w:val="single" w:color="CCCCCC" w:sz="1"/>
              <w:bottom w:val="single" w:color="CCCCCC" w:sz="1"/>
              <w:right w:val="single" w:color="CCCCCC" w:sz="1"/>
            </w:tcBorders>
            <w:shd w:fill="F2F4F8" w:val="clear"/>
          </w:tcPr>
          <w:p>
            <w:pPr>
              <w:spacing w:after="80" w:before="80"/>
            </w:pPr>
            <w:r>
              <w:rPr>
                <w:rFonts w:ascii="Courier New" w:cs="Courier New" w:eastAsia="Courier New" w:hAnsi="Courier New"/>
                <w:color w:val="0F3460"/>
                <w:sz w:val="18"/>
                <w:szCs w:val="18"/>
              </w:rPr>
              <w:t xml:space="preserve">AppsFlyer Attribution Tables</w:t>
            </w:r>
          </w:p>
        </w:tc>
        <w:tc>
          <w:tcPr>
            <w:tcW w:type="dxa" w:w="144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bCs/>
                <w:color w:val="2D2D2D"/>
                <w:sz w:val="20"/>
                <w:szCs w:val="20"/>
              </w:rPr>
              <w:t xml:space="preserve">UA / Attribution</w:t>
            </w:r>
          </w:p>
        </w:tc>
        <w:tc>
          <w:tcPr>
            <w:tcW w:type="dxa" w:w="144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val="false"/>
                <w:bCs w:val="false"/>
                <w:color w:val="2D2D2D"/>
                <w:sz w:val="20"/>
                <w:szCs w:val="20"/>
              </w:rPr>
              <w:t xml:space="preserve">Live / Daily</w:t>
            </w:r>
          </w:p>
        </w:tc>
        <w:tc>
          <w:tcPr>
            <w:tcW w:type="dxa" w:w="396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val="false"/>
                <w:bCs w:val="false"/>
                <w:color w:val="2D2D2D"/>
                <w:sz w:val="20"/>
                <w:szCs w:val="20"/>
              </w:rPr>
              <w:t xml:space="preserve">Paid vs. organic classification, campaign attribution, deep link vs. tab entry, For You vs. Home surface</w:t>
            </w:r>
          </w:p>
        </w:tc>
      </w:tr>
    </w:tbl>
    <w:p>
      <w:pPr>
        <w:spacing w:after="80"/>
      </w:pPr>
      <w:r>
        <w:t xml:space="preserve"/>
      </w:r>
    </w:p>
    <w:p>
      <w:pPr>
        <w:pStyle w:val="Heading3"/>
      </w:pPr>
      <w:r>
        <w:t xml:space="preserve">Data Linkage Architecture</w:t>
      </w:r>
    </w:p>
    <w:p>
      <w:pPr>
        <w:pStyle w:val="BodyText"/>
      </w:pPr>
      <w:r>
        <w:t xml:space="preserve">All tables are joined via the anonymized UUID field, which serves as the primary user identifier across the Redshift warehouse. The demographic and persona tables are snapshot-based (one row per UUID per persona tag for the persona table; one row per UUID for the demographics table), enabling clean aggregation at the user level before joining with streaming event data.</w:t>
      </w:r>
    </w:p>
    <w:p>
      <w:pPr>
        <w:pStyle w:val="BodyText"/>
        <w:numPr>
          <w:ilvl w:val="0"/>
          <w:numId w:val="2"/>
        </w:numPr>
      </w:pPr>
      <w:r>
        <w:t xml:space="preserve">UUID-level join: Streaming engagement → Demographics → Persona tags</w:t>
      </w:r>
    </w:p>
    <w:p>
      <w:pPr>
        <w:pStyle w:val="BodyText"/>
        <w:numPr>
          <w:ilvl w:val="0"/>
          <w:numId w:val="2"/>
        </w:numPr>
      </w:pPr>
      <w:r>
        <w:t xml:space="preserve">Persona table is long-format: a single user may carry 10+ persona tags from ML and Amazon sources, requiring aggregation before join</w:t>
      </w:r>
    </w:p>
    <w:p>
      <w:pPr>
        <w:pStyle w:val="BodyText"/>
        <w:numPr>
          <w:ilvl w:val="0"/>
          <w:numId w:val="2"/>
        </w:numPr>
      </w:pPr>
      <w:r>
        <w:t xml:space="preserve">Attribution tables enable paid/organic segmentation, critical for distinguishing organic retention signals from campaign-influenced behavior</w:t>
      </w:r>
    </w:p>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none" w:color="FFFFFF" w:sz="0"/>
              <w:left w:val="none" w:color="FFFFFF" w:sz="0"/>
              <w:bottom w:val="none" w:color="FFFFFF" w:sz="0"/>
              <w:right w:val="none" w:color="FFFFFF" w:sz="0"/>
            </w:tcBorders>
            <w:shd w:fill="E94560" w:val="clear"/>
          </w:tcPr>
          <w:p>
            <w:r>
              <w:t xml:space="preserve"/>
            </w:r>
          </w:p>
        </w:tc>
        <w:tc>
          <w:tcPr>
            <w:tcW w:type="dxa" w:w="8820"/>
            <w:tcBorders>
              <w:top w:val="none" w:color="FFFFFF" w:sz="0"/>
              <w:left w:val="none" w:color="FFFFFF" w:sz="0"/>
              <w:bottom w:val="none" w:color="FFFFFF" w:sz="0"/>
              <w:right w:val="none" w:color="FFFFFF" w:sz="0"/>
            </w:tcBorders>
            <w:shd w:fill="F0F2F8" w:val="clear"/>
          </w:tcPr>
          <w:p>
            <w:pPr>
              <w:spacing w:after="20" w:before="100"/>
            </w:pPr>
            <w:r>
              <w:rPr>
                <w:rFonts w:ascii="Arial" w:cs="Arial" w:eastAsia="Arial" w:hAnsi="Arial"/>
                <w:b/>
                <w:bCs/>
                <w:caps/>
                <w:color w:val="E94560"/>
                <w:sz w:val="18"/>
                <w:szCs w:val="18"/>
              </w:rPr>
              <w:t xml:space="preserve">Phase 1 — Current Phase</w:t>
            </w:r>
          </w:p>
          <w:p>
            <w:pPr>
              <w:spacing w:after="100" w:before="0"/>
            </w:pPr>
            <w:r>
              <w:rPr>
                <w:rFonts w:ascii="Arial" w:cs="Arial" w:eastAsia="Arial" w:hAnsi="Arial"/>
                <w:b/>
                <w:bCs/>
                <w:color w:val="1A1A2E"/>
                <w:sz w:val="28"/>
                <w:szCs w:val="28"/>
              </w:rPr>
              <w:t xml:space="preserve">Data Foundation</w:t>
            </w:r>
          </w:p>
        </w:tc>
      </w:tr>
    </w:tbl>
    <w:p>
      <w:pPr>
        <w:spacing w:after="80"/>
      </w:pPr>
      <w:r>
        <w:t xml:space="preserve"/>
      </w:r>
    </w:p>
    <w:p>
      <w:pPr>
        <w:pStyle w:val="BodyText"/>
      </w:pPr>
      <w:r>
        <w:t xml:space="preserve">Phase 1 establishes the empirical foundation for the entire Audience Simulation Engine. The objective is to extract, validate, and characterize all behavioral signals from live Fatafat data, and produce a unified audience dataset with demographic and interest overlays. This phase is executable immediately using live Redshift queries against tables confirmed available in AMXP-BI-MCP-PROD.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4680"/>
        <w:gridCol w:w="1800"/>
        <w:gridCol w:w="1980"/>
      </w:tblGrid>
      <w:tr>
        <w:trPr>
          <w:tblHeader/>
        </w:trPr>
        <w:tc>
          <w:tcPr>
            <w:tcW w:type="dxa" w:w="900"/>
            <w:tcBorders>
              <w:top w:val="single" w:color="CCCCCC" w:sz="1"/>
              <w:left w:val="single" w:color="CCCCCC" w:sz="1"/>
              <w:bottom w:val="single" w:color="CCCCCC" w:sz="1"/>
              <w:right w:val="single" w:color="CCCCCC" w:sz="1"/>
            </w:tcBorders>
            <w:shd w:fill="16213E" w:val="clear"/>
            <w:vAlign w:val="center"/>
          </w:tcPr>
          <w:p>
            <w:pPr>
              <w:spacing w:after="80" w:before="80"/>
              <w:jc w:val="center"/>
            </w:pPr>
            <w:r>
              <w:rPr>
                <w:rFonts w:ascii="Arial" w:cs="Arial" w:eastAsia="Arial" w:hAnsi="Arial"/>
                <w:b/>
                <w:bCs/>
                <w:color w:val="FFFFFF"/>
                <w:sz w:val="20"/>
                <w:szCs w:val="20"/>
              </w:rPr>
              <w:t xml:space="preserve">Step</w:t>
            </w:r>
          </w:p>
        </w:tc>
        <w:tc>
          <w:tcPr>
            <w:tcW w:type="dxa" w:w="4680"/>
            <w:tcBorders>
              <w:top w:val="single" w:color="CCCCCC" w:sz="1"/>
              <w:left w:val="single" w:color="CCCCCC" w:sz="1"/>
              <w:bottom w:val="single" w:color="CCCCCC" w:sz="1"/>
              <w:right w:val="single" w:color="CCCCCC" w:sz="1"/>
            </w:tcBorders>
            <w:shd w:fill="16213E" w:val="clear"/>
            <w:vAlign w:val="center"/>
          </w:tcPr>
          <w:p>
            <w:pPr>
              <w:spacing w:after="80" w:before="80"/>
              <w:jc w:val="center"/>
            </w:pPr>
            <w:r>
              <w:rPr>
                <w:rFonts w:ascii="Arial" w:cs="Arial" w:eastAsia="Arial" w:hAnsi="Arial"/>
                <w:b/>
                <w:bCs/>
                <w:color w:val="FFFFFF"/>
                <w:sz w:val="20"/>
                <w:szCs w:val="20"/>
              </w:rPr>
              <w:t xml:space="preserve">Activity</w:t>
            </w:r>
          </w:p>
        </w:tc>
        <w:tc>
          <w:tcPr>
            <w:tcW w:type="dxa" w:w="1800"/>
            <w:tcBorders>
              <w:top w:val="single" w:color="CCCCCC" w:sz="1"/>
              <w:left w:val="single" w:color="CCCCCC" w:sz="1"/>
              <w:bottom w:val="single" w:color="CCCCCC" w:sz="1"/>
              <w:right w:val="single" w:color="CCCCCC" w:sz="1"/>
            </w:tcBorders>
            <w:shd w:fill="16213E" w:val="clear"/>
            <w:vAlign w:val="center"/>
          </w:tcPr>
          <w:p>
            <w:pPr>
              <w:spacing w:after="80" w:before="80"/>
              <w:jc w:val="center"/>
            </w:pPr>
            <w:r>
              <w:rPr>
                <w:rFonts w:ascii="Arial" w:cs="Arial" w:eastAsia="Arial" w:hAnsi="Arial"/>
                <w:b/>
                <w:bCs/>
                <w:color w:val="FFFFFF"/>
                <w:sz w:val="20"/>
                <w:szCs w:val="20"/>
              </w:rPr>
              <w:t xml:space="preserve">Data Source(s)</w:t>
            </w:r>
          </w:p>
        </w:tc>
        <w:tc>
          <w:tcPr>
            <w:tcW w:type="dxa" w:w="1980"/>
            <w:tcBorders>
              <w:top w:val="single" w:color="CCCCCC" w:sz="1"/>
              <w:left w:val="single" w:color="CCCCCC" w:sz="1"/>
              <w:bottom w:val="single" w:color="CCCCCC" w:sz="1"/>
              <w:right w:val="single" w:color="CCCCCC" w:sz="1"/>
            </w:tcBorders>
            <w:shd w:fill="16213E" w:val="clear"/>
            <w:vAlign w:val="center"/>
          </w:tcPr>
          <w:p>
            <w:pPr>
              <w:spacing w:after="80" w:before="80"/>
              <w:jc w:val="center"/>
            </w:pPr>
            <w:r>
              <w:rPr>
                <w:rFonts w:ascii="Arial" w:cs="Arial" w:eastAsia="Arial" w:hAnsi="Arial"/>
                <w:b/>
                <w:bCs/>
                <w:color w:val="FFFFFF"/>
                <w:sz w:val="20"/>
                <w:szCs w:val="20"/>
              </w:rPr>
              <w:t xml:space="preserve">Output</w:t>
            </w:r>
          </w:p>
        </w:tc>
      </w:tr>
      <w:tr>
        <w:tc>
          <w:tcPr>
            <w:tcW w:type="dxa" w:w="900"/>
            <w:tcBorders>
              <w:top w:val="single" w:color="CCCCCC" w:sz="1"/>
              <w:left w:val="single" w:color="CCCCCC" w:sz="1"/>
              <w:bottom w:val="single" w:color="CCCCCC" w:sz="1"/>
              <w:right w:val="single" w:color="CCCCCC" w:sz="1"/>
            </w:tcBorders>
            <w:shd w:fill="F2F4F8" w:val="clear"/>
          </w:tcPr>
          <w:p>
            <w:pPr>
              <w:spacing w:after="80" w:before="80"/>
              <w:jc w:val="center"/>
            </w:pPr>
            <w:r>
              <w:rPr>
                <w:rFonts w:ascii="Arial" w:cs="Arial" w:eastAsia="Arial" w:hAnsi="Arial"/>
                <w:b/>
                <w:bCs/>
                <w:color w:val="2D2D2D"/>
                <w:sz w:val="20"/>
                <w:szCs w:val="20"/>
              </w:rPr>
              <w:t xml:space="preserve">1.1</w:t>
            </w:r>
          </w:p>
        </w:tc>
        <w:tc>
          <w:tcPr>
            <w:tcW w:type="dxa" w:w="468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val="false"/>
                <w:bCs w:val="false"/>
                <w:color w:val="2D2D2D"/>
                <w:sz w:val="20"/>
                <w:szCs w:val="20"/>
              </w:rPr>
              <w:t xml:space="preserve">Baseline streaming snapshot: daily active streamers, total watchtime, median session depth, 3s start rate (last 7 days)</w:t>
            </w:r>
          </w:p>
        </w:tc>
        <w:tc>
          <w:tcPr>
            <w:tcW w:type="dxa" w:w="180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val="false"/>
                <w:bCs w:val="false"/>
                <w:color w:val="2D2D2D"/>
                <w:sz w:val="20"/>
                <w:szCs w:val="20"/>
              </w:rPr>
              <w:t xml:space="preserve">fatafat_player_engagement</w:t>
            </w:r>
          </w:p>
        </w:tc>
        <w:tc>
          <w:tcPr>
            <w:tcW w:type="dxa" w:w="198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val="false"/>
                <w:bCs w:val="false"/>
                <w:color w:val="2D2D2D"/>
                <w:sz w:val="20"/>
                <w:szCs w:val="20"/>
              </w:rPr>
              <w:t xml:space="preserve">KPI baseline table</w:t>
            </w:r>
          </w:p>
        </w:tc>
      </w:tr>
      <w:tr>
        <w:tc>
          <w:tcPr>
            <w:tcW w:type="dxa" w:w="900"/>
            <w:tcBorders>
              <w:top w:val="single" w:color="CCCCCC" w:sz="1"/>
              <w:left w:val="single" w:color="CCCCCC" w:sz="1"/>
              <w:bottom w:val="single" w:color="CCCCCC" w:sz="1"/>
              <w:right w:val="single" w:color="CCCCCC" w:sz="1"/>
            </w:tcBorders>
            <w:shd w:fill="FFFFFF" w:val="clear"/>
          </w:tcPr>
          <w:p>
            <w:pPr>
              <w:spacing w:after="80" w:before="80"/>
              <w:jc w:val="center"/>
            </w:pPr>
            <w:r>
              <w:rPr>
                <w:rFonts w:ascii="Arial" w:cs="Arial" w:eastAsia="Arial" w:hAnsi="Arial"/>
                <w:b/>
                <w:bCs/>
                <w:color w:val="2D2D2D"/>
                <w:sz w:val="20"/>
                <w:szCs w:val="20"/>
              </w:rPr>
              <w:t xml:space="preserve">1.2</w:t>
            </w:r>
          </w:p>
        </w:tc>
        <w:tc>
          <w:tcPr>
            <w:tcW w:type="dxa" w:w="46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Demographics breakdown: age/gender distribution of Fatafat 3s streamers; coverage rate by demographic source (ML vs. Amazon vs. Declared)</w:t>
            </w:r>
          </w:p>
        </w:tc>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age_gender_details_table_v3</w:t>
            </w:r>
          </w:p>
        </w:tc>
        <w:tc>
          <w:tcPr>
            <w:tcW w:type="dxa" w:w="19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Demographics profile</w:t>
            </w:r>
          </w:p>
        </w:tc>
      </w:tr>
      <w:tr>
        <w:tc>
          <w:tcPr>
            <w:tcW w:type="dxa" w:w="900"/>
            <w:tcBorders>
              <w:top w:val="single" w:color="CCCCCC" w:sz="1"/>
              <w:left w:val="single" w:color="CCCCCC" w:sz="1"/>
              <w:bottom w:val="single" w:color="CCCCCC" w:sz="1"/>
              <w:right w:val="single" w:color="CCCCCC" w:sz="1"/>
            </w:tcBorders>
            <w:shd w:fill="F2F4F8" w:val="clear"/>
          </w:tcPr>
          <w:p>
            <w:pPr>
              <w:spacing w:after="80" w:before="80"/>
              <w:jc w:val="center"/>
            </w:pPr>
            <w:r>
              <w:rPr>
                <w:rFonts w:ascii="Arial" w:cs="Arial" w:eastAsia="Arial" w:hAnsi="Arial"/>
                <w:b/>
                <w:bCs/>
                <w:color w:val="2D2D2D"/>
                <w:sz w:val="20"/>
                <w:szCs w:val="20"/>
              </w:rPr>
              <w:t xml:space="preserve">1.3</w:t>
            </w:r>
          </w:p>
        </w:tc>
        <w:tc>
          <w:tcPr>
            <w:tcW w:type="dxa" w:w="468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val="false"/>
                <w:bCs w:val="false"/>
                <w:color w:val="2D2D2D"/>
                <w:sz w:val="20"/>
                <w:szCs w:val="20"/>
              </w:rPr>
              <w:t xml:space="preserve">Interest segmentation: top persona/interest segments among Fatafat streamers; cross-tab of interest segments vs. content genre preference</w:t>
            </w:r>
          </w:p>
        </w:tc>
        <w:tc>
          <w:tcPr>
            <w:tcW w:type="dxa" w:w="180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val="false"/>
                <w:bCs w:val="false"/>
                <w:color w:val="2D2D2D"/>
                <w:sz w:val="20"/>
                <w:szCs w:val="20"/>
              </w:rPr>
              <w:t xml:space="preserve">persona_details_table_v3</w:t>
            </w:r>
          </w:p>
        </w:tc>
        <w:tc>
          <w:tcPr>
            <w:tcW w:type="dxa" w:w="198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val="false"/>
                <w:bCs w:val="false"/>
                <w:color w:val="2D2D2D"/>
                <w:sz w:val="20"/>
                <w:szCs w:val="20"/>
              </w:rPr>
              <w:t xml:space="preserve">Interest affinity matrix</w:t>
            </w:r>
          </w:p>
        </w:tc>
      </w:tr>
      <w:tr>
        <w:tc>
          <w:tcPr>
            <w:tcW w:type="dxa" w:w="900"/>
            <w:tcBorders>
              <w:top w:val="single" w:color="CCCCCC" w:sz="1"/>
              <w:left w:val="single" w:color="CCCCCC" w:sz="1"/>
              <w:bottom w:val="single" w:color="CCCCCC" w:sz="1"/>
              <w:right w:val="single" w:color="CCCCCC" w:sz="1"/>
            </w:tcBorders>
            <w:shd w:fill="FFFFFF" w:val="clear"/>
          </w:tcPr>
          <w:p>
            <w:pPr>
              <w:spacing w:after="80" w:before="80"/>
              <w:jc w:val="center"/>
            </w:pPr>
            <w:r>
              <w:rPr>
                <w:rFonts w:ascii="Arial" w:cs="Arial" w:eastAsia="Arial" w:hAnsi="Arial"/>
                <w:b/>
                <w:bCs/>
                <w:color w:val="2D2D2D"/>
                <w:sz w:val="20"/>
                <w:szCs w:val="20"/>
              </w:rPr>
              <w:t xml:space="preserve">1.4</w:t>
            </w:r>
          </w:p>
        </w:tc>
        <w:tc>
          <w:tcPr>
            <w:tcW w:type="dxa" w:w="46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Retention curve analysis: episode-level completion rates across top 20 shows; identify characteristic drop-off points per genre; baseline retention signatures</w:t>
            </w:r>
          </w:p>
        </w:tc>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fatafat_player_engagement</w:t>
            </w:r>
          </w:p>
        </w:tc>
        <w:tc>
          <w:tcPr>
            <w:tcW w:type="dxa" w:w="19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Retention curve library</w:t>
            </w:r>
          </w:p>
        </w:tc>
      </w:tr>
      <w:tr>
        <w:tc>
          <w:tcPr>
            <w:tcW w:type="dxa" w:w="900"/>
            <w:tcBorders>
              <w:top w:val="single" w:color="CCCCCC" w:sz="1"/>
              <w:left w:val="single" w:color="CCCCCC" w:sz="1"/>
              <w:bottom w:val="single" w:color="CCCCCC" w:sz="1"/>
              <w:right w:val="single" w:color="CCCCCC" w:sz="1"/>
            </w:tcBorders>
            <w:shd w:fill="F2F4F8" w:val="clear"/>
          </w:tcPr>
          <w:p>
            <w:pPr>
              <w:spacing w:after="80" w:before="80"/>
              <w:jc w:val="center"/>
            </w:pPr>
            <w:r>
              <w:rPr>
                <w:rFonts w:ascii="Arial" w:cs="Arial" w:eastAsia="Arial" w:hAnsi="Arial"/>
                <w:b/>
                <w:bCs/>
                <w:color w:val="2D2D2D"/>
                <w:sz w:val="20"/>
                <w:szCs w:val="20"/>
              </w:rPr>
              <w:t xml:space="preserve">1.5</w:t>
            </w:r>
          </w:p>
        </w:tc>
        <w:tc>
          <w:tcPr>
            <w:tcW w:type="dxa" w:w="468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val="false"/>
                <w:bCs w:val="false"/>
                <w:color w:val="2D2D2D"/>
                <w:sz w:val="20"/>
                <w:szCs w:val="20"/>
              </w:rPr>
              <w:t xml:space="preserve">User behavior clustering: session patterns, multi-show consumption chains, content preference mapping; identify natural behavioral cohorts prior to formal persona modeling</w:t>
            </w:r>
          </w:p>
        </w:tc>
        <w:tc>
          <w:tcPr>
            <w:tcW w:type="dxa" w:w="180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val="false"/>
                <w:bCs w:val="false"/>
                <w:color w:val="2D2D2D"/>
                <w:sz w:val="20"/>
                <w:szCs w:val="20"/>
              </w:rPr>
              <w:t xml:space="preserve">player_engagement + interaction_v2</w:t>
            </w:r>
          </w:p>
        </w:tc>
        <w:tc>
          <w:tcPr>
            <w:tcW w:type="dxa" w:w="198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val="false"/>
                <w:bCs w:val="false"/>
                <w:color w:val="2D2D2D"/>
                <w:sz w:val="20"/>
                <w:szCs w:val="20"/>
              </w:rPr>
              <w:t xml:space="preserve">Behavioral cluster map</w:t>
            </w:r>
          </w:p>
        </w:tc>
      </w:tr>
      <w:tr>
        <w:tc>
          <w:tcPr>
            <w:tcW w:type="dxa" w:w="900"/>
            <w:tcBorders>
              <w:top w:val="single" w:color="CCCCCC" w:sz="1"/>
              <w:left w:val="single" w:color="CCCCCC" w:sz="1"/>
              <w:bottom w:val="single" w:color="CCCCCC" w:sz="1"/>
              <w:right w:val="single" w:color="CCCCCC" w:sz="1"/>
            </w:tcBorders>
            <w:shd w:fill="FFFFFF" w:val="clear"/>
          </w:tcPr>
          <w:p>
            <w:pPr>
              <w:spacing w:after="80" w:before="80"/>
              <w:jc w:val="center"/>
            </w:pPr>
            <w:r>
              <w:rPr>
                <w:rFonts w:ascii="Arial" w:cs="Arial" w:eastAsia="Arial" w:hAnsi="Arial"/>
                <w:b/>
                <w:bCs/>
                <w:color w:val="2D2D2D"/>
                <w:sz w:val="20"/>
                <w:szCs w:val="20"/>
              </w:rPr>
              <w:t xml:space="preserve">1.6</w:t>
            </w:r>
          </w:p>
        </w:tc>
        <w:tc>
          <w:tcPr>
            <w:tcW w:type="dxa" w:w="46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Entry behavior analysis: organic vs. paid user classification; surface (For You / Home / Search / Deep Link) vs. retention quality; subscriber vs. non-subscriber behavioral split</w:t>
            </w:r>
          </w:p>
        </w:tc>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AppsFlyer + membership tables</w:t>
            </w:r>
          </w:p>
        </w:tc>
        <w:tc>
          <w:tcPr>
            <w:tcW w:type="dxa" w:w="19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Entry-retention matrix</w:t>
            </w:r>
          </w:p>
        </w:tc>
      </w:tr>
    </w:tbl>
    <w:p>
      <w:pPr>
        <w:spacing w:after="80"/>
      </w:pPr>
      <w:r>
        <w:t xml:space="preserve"/>
      </w:r>
    </w:p>
    <w:p>
      <w:pPr>
        <w:pStyle w:val="Heading3"/>
      </w:pPr>
      <w:r>
        <w:t xml:space="preserve">Phase 1 Deliverable</w:t>
      </w:r>
    </w:p>
    <w:p>
      <w:pPr>
        <w:pStyle w:val="BodyText"/>
      </w:pPr>
      <w:r>
        <w:t xml:space="preserve">A unified behavioral dataset with demographic and interest overlays, documented in a Phase 1 Analysis Report containing: baseline KPI snapshot, demographics coverage analysis, interest affinity matrix, retention curve library (top 20 shows), behavioral cluster summary, and entry-to-retention quality matrix. This report serves as the direct input to Phase 2 persona construction.</w:t>
      </w:r>
    </w:p>
    <w:p>
      <w:pPr>
        <w:pStyle w:val="Heading3"/>
      </w:pPr>
      <w:r>
        <w:t xml:space="preserve">Phase 1 Timeline</w:t>
      </w:r>
    </w:p>
    <w:p>
      <w:pPr>
        <w:pStyle w:val="BodyText"/>
        <w:numPr>
          <w:ilvl w:val="0"/>
          <w:numId w:val="2"/>
        </w:numPr>
      </w:pPr>
      <w:r>
        <w:t xml:space="preserve">Estimated duration: 2–3 weeks</w:t>
      </w:r>
    </w:p>
    <w:p>
      <w:pPr>
        <w:pStyle w:val="BodyText"/>
        <w:numPr>
          <w:ilvl w:val="0"/>
          <w:numId w:val="2"/>
        </w:numPr>
      </w:pPr>
      <w:r>
        <w:t xml:space="preserve">Week 1: Steps 1.1–1.3 — baseline snapshot, demographics, interest segmentation</w:t>
      </w:r>
    </w:p>
    <w:p>
      <w:pPr>
        <w:pStyle w:val="BodyText"/>
        <w:numPr>
          <w:ilvl w:val="0"/>
          <w:numId w:val="2"/>
        </w:numPr>
      </w:pPr>
      <w:r>
        <w:t xml:space="preserve">Week 2: Steps 1.4–1.5 — retention curve analysis, behavioral clustering</w:t>
      </w:r>
    </w:p>
    <w:p>
      <w:pPr>
        <w:pStyle w:val="BodyText"/>
        <w:numPr>
          <w:ilvl w:val="0"/>
          <w:numId w:val="2"/>
        </w:numPr>
      </w:pPr>
      <w:r>
        <w:t xml:space="preserve">Week 3: Step 1.6 + validation and documentation — entry behavior analysis, report assembly</w:t>
      </w:r>
    </w:p>
    <w:p>
      <w:pPr>
        <w:pStyle w:val="Heading3"/>
      </w:pPr>
      <w:r>
        <w:t xml:space="preserve">Phase 1 Execution Checklist</w:t>
      </w:r>
    </w:p>
    <w:p>
      <w:pPr>
        <w:pStyle w:val="BodyText"/>
        <w:numPr>
          <w:ilvl w:val="0"/>
          <w:numId w:val="3"/>
        </w:numPr>
      </w:pPr>
      <w:r>
        <w:t xml:space="preserve">Verify access to all 7 data source tables listed in Section 3 via AMXP-BI-MCP-PROD Redshift connection</w:t>
      </w:r>
    </w:p>
    <w:p>
      <w:pPr>
        <w:pStyle w:val="BodyText"/>
        <w:numPr>
          <w:ilvl w:val="0"/>
          <w:numId w:val="3"/>
        </w:numPr>
      </w:pPr>
      <w:r>
        <w:t xml:space="preserve">Run baseline streaming query: total 3s streamers, total watchtime minutes, median session depth, by day for last 14 days</w:t>
      </w:r>
    </w:p>
    <w:p>
      <w:pPr>
        <w:pStyle w:val="BodyText"/>
        <w:numPr>
          <w:ilvl w:val="0"/>
          <w:numId w:val="3"/>
        </w:numPr>
      </w:pPr>
      <w:r>
        <w:t xml:space="preserve">Run demographics coverage query: count distinct UUIDs in age_gender table matched to Fatafat streamers; break out by source (ml / amazon / mxp)</w:t>
      </w:r>
    </w:p>
    <w:p>
      <w:pPr>
        <w:pStyle w:val="BodyText"/>
        <w:numPr>
          <w:ilvl w:val="0"/>
          <w:numId w:val="3"/>
        </w:numPr>
      </w:pPr>
      <w:r>
        <w:t xml:space="preserve">Run top-25 persona/interest query: rank interest segment tags by distinct Fatafat streamer count; cross-tab top 10 segments vs. top 10 shows</w:t>
      </w:r>
    </w:p>
    <w:p>
      <w:pPr>
        <w:pStyle w:val="BodyText"/>
        <w:numPr>
          <w:ilvl w:val="0"/>
          <w:numId w:val="3"/>
        </w:numPr>
      </w:pPr>
      <w:r>
        <w:t xml:space="preserve">Pull episode-level retention curves for top 20 Fatafat shows by total watchtime (last 30 days); calculate P25, P50, P75 completion deciles</w:t>
      </w:r>
    </w:p>
    <w:p>
      <w:pPr>
        <w:pStyle w:val="BodyText"/>
        <w:numPr>
          <w:ilvl w:val="0"/>
          <w:numId w:val="3"/>
        </w:numPr>
      </w:pPr>
      <w:r>
        <w:t xml:space="preserve">Run user behavioral clustering query: segment users by session depth quintile x genre breadth x binge rate; identify 8–12 natural behavioral cohorts</w:t>
      </w:r>
    </w:p>
    <w:p>
      <w:pPr>
        <w:pStyle w:val="BodyText"/>
        <w:numPr>
          <w:ilvl w:val="0"/>
          <w:numId w:val="3"/>
        </w:numPr>
      </w:pPr>
      <w:r>
        <w:t xml:space="preserve">Run entry behavior analysis: organic vs. paid cohort comparison on 7-day retention rate and avg sessions per user; For You vs. Home surface performance</w:t>
      </w:r>
    </w:p>
    <w:p>
      <w:pPr>
        <w:pStyle w:val="BodyText"/>
        <w:numPr>
          <w:ilvl w:val="0"/>
          <w:numId w:val="3"/>
        </w:numPr>
      </w:pPr>
      <w:r>
        <w:t xml:space="preserve">Assemble Phase 1 Analysis Report and circulate for stakeholder review before Phase 2 kickoff</w:t>
      </w:r>
    </w:p>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none" w:color="FFFFFF" w:sz="0"/>
              <w:left w:val="none" w:color="FFFFFF" w:sz="0"/>
              <w:bottom w:val="none" w:color="FFFFFF" w:sz="0"/>
              <w:right w:val="none" w:color="FFFFFF" w:sz="0"/>
            </w:tcBorders>
            <w:shd w:fill="0F3460" w:val="clear"/>
          </w:tcPr>
          <w:p>
            <w:r>
              <w:t xml:space="preserve"/>
            </w:r>
          </w:p>
        </w:tc>
        <w:tc>
          <w:tcPr>
            <w:tcW w:type="dxa" w:w="8820"/>
            <w:tcBorders>
              <w:top w:val="none" w:color="FFFFFF" w:sz="0"/>
              <w:left w:val="none" w:color="FFFFFF" w:sz="0"/>
              <w:bottom w:val="none" w:color="FFFFFF" w:sz="0"/>
              <w:right w:val="none" w:color="FFFFFF" w:sz="0"/>
            </w:tcBorders>
            <w:shd w:fill="F0F2F8" w:val="clear"/>
          </w:tcPr>
          <w:p>
            <w:pPr>
              <w:spacing w:after="20" w:before="100"/>
            </w:pPr>
            <w:r>
              <w:rPr>
                <w:rFonts w:ascii="Arial" w:cs="Arial" w:eastAsia="Arial" w:hAnsi="Arial"/>
                <w:b/>
                <w:bCs/>
                <w:caps/>
                <w:color w:val="0F3460"/>
                <w:sz w:val="18"/>
                <w:szCs w:val="18"/>
              </w:rPr>
              <w:t xml:space="preserve">Phase 2</w:t>
            </w:r>
          </w:p>
          <w:p>
            <w:pPr>
              <w:spacing w:after="100" w:before="0"/>
            </w:pPr>
            <w:r>
              <w:rPr>
                <w:rFonts w:ascii="Arial" w:cs="Arial" w:eastAsia="Arial" w:hAnsi="Arial"/>
                <w:b/>
                <w:bCs/>
                <w:color w:val="1A1A2E"/>
                <w:sz w:val="28"/>
                <w:szCs w:val="28"/>
              </w:rPr>
              <w:t xml:space="preserve">Persona Construction</w:t>
            </w:r>
          </w:p>
        </w:tc>
      </w:tr>
    </w:tbl>
    <w:p>
      <w:pPr>
        <w:spacing w:after="80"/>
      </w:pPr>
      <w:r>
        <w:t xml:space="preserve"/>
      </w:r>
    </w:p>
    <w:p>
      <w:pPr>
        <w:pStyle w:val="BodyText"/>
      </w:pPr>
      <w:r>
        <w:t xml:space="preserve">Using the unified behavioral dataset from Phase 1 as its input, Phase 2 builds the synthesized persona set that forms the audience model for the simulation engine. The goal is 5–6 content-first personas that together cover approximately 75% of the active Fatafat audience and carry actionable behavioral, strategic, and commercial profiles.</w:t>
      </w:r>
    </w:p>
    <w:p>
      <w:pPr>
        <w:pStyle w:val="Heading2"/>
      </w:pPr>
      <w:r>
        <w:t xml:space="preserve">5.1 Clustering Methodology</w:t>
      </w:r>
    </w:p>
    <w:p>
      <w:pPr>
        <w:pStyle w:val="BodyText"/>
      </w:pPr>
      <w:r>
        <w:t xml:space="preserve">Users will be clustered across five behavioral dimensions, derived from the Phase 1 analysis outputs: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3600"/>
      </w:tblGrid>
      <w:tr>
        <w:trPr>
          <w:tblHeader/>
        </w:trPr>
        <w:tc>
          <w:tcPr>
            <w:tcW w:type="dxa" w:w="1800"/>
            <w:tcBorders>
              <w:top w:val="single" w:color="CCCCCC" w:sz="1"/>
              <w:left w:val="single" w:color="CCCCCC" w:sz="1"/>
              <w:bottom w:val="single" w:color="CCCCCC" w:sz="1"/>
              <w:right w:val="single" w:color="CCCCCC" w:sz="1"/>
            </w:tcBorders>
            <w:shd w:fill="16213E" w:val="clear"/>
            <w:vAlign w:val="center"/>
          </w:tcPr>
          <w:p>
            <w:pPr>
              <w:spacing w:after="80" w:before="80"/>
              <w:jc w:val="center"/>
            </w:pPr>
            <w:r>
              <w:rPr>
                <w:rFonts w:ascii="Arial" w:cs="Arial" w:eastAsia="Arial" w:hAnsi="Arial"/>
                <w:b/>
                <w:bCs/>
                <w:color w:val="FFFFFF"/>
                <w:sz w:val="20"/>
                <w:szCs w:val="20"/>
              </w:rPr>
              <w:t xml:space="preserve">Dimension</w:t>
            </w:r>
          </w:p>
        </w:tc>
        <w:tc>
          <w:tcPr>
            <w:tcW w:type="dxa" w:w="3960"/>
            <w:tcBorders>
              <w:top w:val="single" w:color="CCCCCC" w:sz="1"/>
              <w:left w:val="single" w:color="CCCCCC" w:sz="1"/>
              <w:bottom w:val="single" w:color="CCCCCC" w:sz="1"/>
              <w:right w:val="single" w:color="CCCCCC" w:sz="1"/>
            </w:tcBorders>
            <w:shd w:fill="16213E" w:val="clear"/>
            <w:vAlign w:val="center"/>
          </w:tcPr>
          <w:p>
            <w:pPr>
              <w:spacing w:after="80" w:before="80"/>
              <w:jc w:val="center"/>
            </w:pPr>
            <w:r>
              <w:rPr>
                <w:rFonts w:ascii="Arial" w:cs="Arial" w:eastAsia="Arial" w:hAnsi="Arial"/>
                <w:b/>
                <w:bCs/>
                <w:color w:val="FFFFFF"/>
                <w:sz w:val="20"/>
                <w:szCs w:val="20"/>
              </w:rPr>
              <w:t xml:space="preserve">Signal Source</w:t>
            </w:r>
          </w:p>
        </w:tc>
        <w:tc>
          <w:tcPr>
            <w:tcW w:type="dxa" w:w="3600"/>
            <w:tcBorders>
              <w:top w:val="single" w:color="CCCCCC" w:sz="1"/>
              <w:left w:val="single" w:color="CCCCCC" w:sz="1"/>
              <w:bottom w:val="single" w:color="CCCCCC" w:sz="1"/>
              <w:right w:val="single" w:color="CCCCCC" w:sz="1"/>
            </w:tcBorders>
            <w:shd w:fill="16213E" w:val="clear"/>
            <w:vAlign w:val="center"/>
          </w:tcPr>
          <w:p>
            <w:pPr>
              <w:spacing w:after="80" w:before="80"/>
              <w:jc w:val="center"/>
            </w:pPr>
            <w:r>
              <w:rPr>
                <w:rFonts w:ascii="Arial" w:cs="Arial" w:eastAsia="Arial" w:hAnsi="Arial"/>
                <w:b/>
                <w:bCs/>
                <w:color w:val="FFFFFF"/>
                <w:sz w:val="20"/>
                <w:szCs w:val="20"/>
              </w:rPr>
              <w:t xml:space="preserve">Segmentation Variables</w:t>
            </w:r>
          </w:p>
        </w:tc>
      </w:tr>
      <w:tr>
        <w:tc>
          <w:tcPr>
            <w:tcW w:type="dxa" w:w="180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bCs/>
                <w:color w:val="2D2D2D"/>
                <w:sz w:val="20"/>
                <w:szCs w:val="20"/>
              </w:rPr>
              <w:t xml:space="preserve">Retention Profile</w:t>
            </w:r>
          </w:p>
        </w:tc>
        <w:tc>
          <w:tcPr>
            <w:tcW w:type="dxa" w:w="396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val="false"/>
                <w:bCs w:val="false"/>
                <w:color w:val="2D2D2D"/>
                <w:sz w:val="20"/>
                <w:szCs w:val="20"/>
              </w:rPr>
              <w:t xml:space="preserve">Episode completion rates, drop-off timing, binge propensity from fatafat_player_engagement</w:t>
            </w:r>
          </w:p>
        </w:tc>
        <w:tc>
          <w:tcPr>
            <w:tcW w:type="dxa" w:w="360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val="false"/>
                <w:bCs w:val="false"/>
                <w:color w:val="2D2D2D"/>
                <w:sz w:val="20"/>
                <w:szCs w:val="20"/>
              </w:rPr>
              <w:t xml:space="preserve">High / Mid / Low completer; early / mid / late drop-off; binge vs. casual</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color w:val="2D2D2D"/>
                <w:sz w:val="20"/>
                <w:szCs w:val="20"/>
              </w:rPr>
              <w:t xml:space="preserve">Content Preference</w:t>
            </w:r>
          </w:p>
        </w:tc>
        <w:tc>
          <w:tcPr>
            <w:tcW w:type="dxa" w:w="39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Genre affinity, multi-show consumption patterns, series vs. film ratio</w:t>
            </w:r>
          </w:p>
        </w:tc>
        <w:tc>
          <w:tcPr>
            <w:tcW w:type="dxa" w:w="36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Genre cluster (drama / comedy / reality / action); mono vs. multi-genre; format preference</w:t>
            </w:r>
          </w:p>
        </w:tc>
      </w:tr>
      <w:tr>
        <w:tc>
          <w:tcPr>
            <w:tcW w:type="dxa" w:w="180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bCs/>
                <w:color w:val="2D2D2D"/>
                <w:sz w:val="20"/>
                <w:szCs w:val="20"/>
              </w:rPr>
              <w:t xml:space="preserve">Viewing Behavior</w:t>
            </w:r>
          </w:p>
        </w:tc>
        <w:tc>
          <w:tcPr>
            <w:tcW w:type="dxa" w:w="396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val="false"/>
                <w:bCs w:val="false"/>
                <w:color w:val="2D2D2D"/>
                <w:sz w:val="20"/>
                <w:szCs w:val="20"/>
              </w:rPr>
              <w:t xml:space="preserve">Session depth, frequency, time-of-day patterns, entry surface from interaction tables</w:t>
            </w:r>
          </w:p>
        </w:tc>
        <w:tc>
          <w:tcPr>
            <w:tcW w:type="dxa" w:w="360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val="false"/>
                <w:bCs w:val="false"/>
                <w:color w:val="2D2D2D"/>
                <w:sz w:val="20"/>
                <w:szCs w:val="20"/>
              </w:rPr>
              <w:t xml:space="preserve">Session depth quintile; daily vs. weekly; prime-time vs. off-peak; mobile vs. TV</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color w:val="2D2D2D"/>
                <w:sz w:val="20"/>
                <w:szCs w:val="20"/>
              </w:rPr>
              <w:t xml:space="preserve">Demographic Overlay</w:t>
            </w:r>
          </w:p>
        </w:tc>
        <w:tc>
          <w:tcPr>
            <w:tcW w:type="dxa" w:w="39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Age group, gender from mxp_age_gender_details_table_v3</w:t>
            </w:r>
          </w:p>
        </w:tc>
        <w:tc>
          <w:tcPr>
            <w:tcW w:type="dxa" w:w="36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Age band (18–24, 25–34, 35–44, 45+); gender; age-gender interaction</w:t>
            </w:r>
          </w:p>
        </w:tc>
      </w:tr>
      <w:tr>
        <w:tc>
          <w:tcPr>
            <w:tcW w:type="dxa" w:w="180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bCs/>
                <w:color w:val="2D2D2D"/>
                <w:sz w:val="20"/>
                <w:szCs w:val="20"/>
              </w:rPr>
              <w:t xml:space="preserve">Interest Depth</w:t>
            </w:r>
          </w:p>
        </w:tc>
        <w:tc>
          <w:tcPr>
            <w:tcW w:type="dxa" w:w="396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val="false"/>
                <w:bCs w:val="false"/>
                <w:color w:val="2D2D2D"/>
                <w:sz w:val="20"/>
                <w:szCs w:val="20"/>
              </w:rPr>
              <w:t xml:space="preserve">Persona tag count, interest category breadth from mxp_persona_details_table_v3</w:t>
            </w:r>
          </w:p>
        </w:tc>
        <w:tc>
          <w:tcPr>
            <w:tcW w:type="dxa" w:w="360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val="false"/>
                <w:bCs w:val="false"/>
                <w:color w:val="2D2D2D"/>
                <w:sz w:val="20"/>
                <w:szCs w:val="20"/>
              </w:rPr>
              <w:t xml:space="preserve">Single-interest vs. multi-interest; ML source vs. Amazon source; interest-genre alignment</w:t>
            </w:r>
          </w:p>
        </w:tc>
      </w:tr>
    </w:tbl>
    <w:p>
      <w:pPr>
        <w:spacing w:after="80"/>
      </w:pPr>
      <w:r>
        <w:t xml:space="preserve"/>
      </w:r>
    </w:p>
    <w:p>
      <w:pPr>
        <w:pStyle w:val="Heading2"/>
      </w:pPr>
      <w:r>
        <w:t xml:space="preserve">5.2 Strategic Role Assignment</w:t>
      </w:r>
    </w:p>
    <w:p>
      <w:pPr>
        <w:pStyle w:val="BodyText"/>
      </w:pPr>
      <w:r>
        <w:t xml:space="preserve">Once behavioral clusters are formed, each cluster is assigned a strategic role within the Grow / Nourish / Sustain taxonomy. Role assignment is driven by the intersection of segment size and engagement depth:</w:t>
      </w:r>
    </w:p>
    <w:p>
      <w:pPr>
        <w:pStyle w:val="BodyText"/>
        <w:numPr>
          <w:ilvl w:val="0"/>
          <w:numId w:val="2"/>
        </w:numPr>
      </w:pPr>
      <w:r>
        <w:t xml:space="preserve">Grow: Large segments with moderate engagement and high growth potential — acquisition-priority, often driven by specific content triggers</w:t>
      </w:r>
    </w:p>
    <w:p>
      <w:pPr>
        <w:pStyle w:val="BodyText"/>
        <w:numPr>
          <w:ilvl w:val="0"/>
          <w:numId w:val="2"/>
        </w:numPr>
      </w:pPr>
      <w:r>
        <w:t xml:space="preserve">Nourish: Mid-sized segments with deep engagement and high retention — loyalty-priority, most receptive to original and franchise content</w:t>
      </w:r>
    </w:p>
    <w:p>
      <w:pPr>
        <w:pStyle w:val="BodyText"/>
        <w:numPr>
          <w:ilvl w:val="0"/>
          <w:numId w:val="2"/>
        </w:numPr>
      </w:pPr>
      <w:r>
        <w:t xml:space="preserve">Sustain: Large habitual-viewing segments — volume-priority, high commercial value due to session frequency and ad exposure</w:t>
      </w:r>
    </w:p>
    <w:p>
      <w:pPr>
        <w:pStyle w:val="Heading2"/>
      </w:pPr>
      <w:r>
        <w:t xml:space="preserve">5.3 Persona Deliverable Format</w:t>
      </w:r>
    </w:p>
    <w:p>
      <w:pPr>
        <w:pStyle w:val="BodyText"/>
      </w:pPr>
      <w:r>
        <w:t xml:space="preserve">Each of the 5–6 final personas will be documented in a standardized persona card covering:</w:t>
      </w:r>
    </w:p>
    <w:p>
      <w:pPr>
        <w:pStyle w:val="BodyText"/>
        <w:numPr>
          <w:ilvl w:val="0"/>
          <w:numId w:val="2"/>
        </w:numPr>
      </w:pPr>
      <w:r>
        <w:t xml:space="preserve">Persona name and archetype label</w:t>
      </w:r>
    </w:p>
    <w:p>
      <w:pPr>
        <w:pStyle w:val="BodyText"/>
        <w:numPr>
          <w:ilvl w:val="0"/>
          <w:numId w:val="2"/>
        </w:numPr>
      </w:pPr>
      <w:r>
        <w:t xml:space="preserve">Strategic role (Grow / Nourish / Sustain) with rationale</w:t>
      </w:r>
    </w:p>
    <w:p>
      <w:pPr>
        <w:pStyle w:val="BodyText"/>
        <w:numPr>
          <w:ilvl w:val="0"/>
          <w:numId w:val="2"/>
        </w:numPr>
      </w:pPr>
      <w:r>
        <w:t xml:space="preserve">Behavioral fingerprint: retention signature, content preference, session profile</w:t>
      </w:r>
    </w:p>
    <w:p>
      <w:pPr>
        <w:pStyle w:val="BodyText"/>
        <w:numPr>
          <w:ilvl w:val="0"/>
          <w:numId w:val="2"/>
        </w:numPr>
      </w:pPr>
      <w:r>
        <w:t xml:space="preserve">Demographic profile: age/gender distribution and skew</w:t>
      </w:r>
    </w:p>
    <w:p>
      <w:pPr>
        <w:pStyle w:val="BodyText"/>
        <w:numPr>
          <w:ilvl w:val="0"/>
          <w:numId w:val="2"/>
        </w:numPr>
      </w:pPr>
      <w:r>
        <w:t xml:space="preserve">Commercial profile: top 3 interest panels, advertiser category affinity, estimated commercial value index</w:t>
      </w:r>
    </w:p>
    <w:p>
      <w:pPr>
        <w:pStyle w:val="BodyText"/>
        <w:numPr>
          <w:ilvl w:val="0"/>
          <w:numId w:val="2"/>
        </w:numPr>
      </w:pPr>
      <w:r>
        <w:t xml:space="preserve">Coverage metric: % of active Fatafat audience represented by this persona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8"/>
              <w:left w:val="dashed" w:color="999999" w:sz="8"/>
              <w:bottom w:val="dashed" w:color="999999" w:sz="8"/>
              <w:right w:val="dashed" w:color="999999" w:sz="8"/>
            </w:tcBorders>
            <w:shd w:fill="F8F9FA" w:val="clear"/>
          </w:tcPr>
          <w:p>
            <w:pPr>
              <w:spacing w:after="60" w:before="280"/>
              <w:jc w:val="center"/>
            </w:pPr>
            <w:r>
              <w:rPr>
                <w:rFonts w:ascii="Arial" w:cs="Arial" w:eastAsia="Arial" w:hAnsi="Arial"/>
                <w:color w:val="AAAAAA"/>
                <w:sz w:val="36"/>
                <w:szCs w:val="36"/>
              </w:rPr>
              <w:t xml:space="preserve">□  □  □</w:t>
            </w:r>
          </w:p>
          <w:p>
            <w:pPr>
              <w:spacing w:after="60" w:before="0"/>
              <w:jc w:val="center"/>
            </w:pPr>
            <w:r>
              <w:rPr>
                <w:rFonts w:ascii="Arial" w:cs="Arial" w:eastAsia="Arial" w:hAnsi="Arial"/>
                <w:b/>
                <w:bCs/>
                <w:color w:val="444444"/>
                <w:sz w:val="22"/>
                <w:szCs w:val="22"/>
              </w:rPr>
              <w:t xml:space="preserve">Persona Card Template — Example Layout for a Single Synthesized Persona</w:t>
            </w:r>
          </w:p>
          <w:p>
            <w:pPr>
              <w:spacing w:after="280" w:before="0"/>
              <w:jc w:val="center"/>
            </w:pPr>
            <w:r>
              <w:rPr>
                <w:rFonts w:ascii="Arial" w:cs="Arial" w:eastAsia="Arial" w:hAnsi="Arial"/>
                <w:i/>
                <w:iCs/>
                <w:color w:val="888888"/>
                <w:sz w:val="18"/>
                <w:szCs w:val="18"/>
              </w:rPr>
              <w:t xml:space="preserve">[ Diagram to be inserted ]</w:t>
            </w:r>
          </w:p>
        </w:tc>
      </w:tr>
    </w:tbl>
    <w:p>
      <w:pPr>
        <w:pStyle w:val="Caption"/>
      </w:pPr>
      <w:r>
        <w:t xml:space="preserve">Figure 3: Example persona card format showing behavioral fingerprint, strategic role, and commercial profile fields</w:t>
      </w:r>
    </w:p>
    <w:p>
      <w:pPr>
        <w:pStyle w:val="Heading3"/>
      </w:pPr>
      <w:r>
        <w:t xml:space="preserve">Phase 2 Timeline</w:t>
      </w:r>
    </w:p>
    <w:p>
      <w:pPr>
        <w:pStyle w:val="BodyText"/>
        <w:numPr>
          <w:ilvl w:val="0"/>
          <w:numId w:val="2"/>
        </w:numPr>
      </w:pPr>
      <w:r>
        <w:t xml:space="preserve">Estimated duration: 2–3 weeks (following Phase 1 completion)</w:t>
      </w:r>
    </w:p>
    <w:p>
      <w:pPr>
        <w:pStyle w:val="BodyText"/>
        <w:numPr>
          <w:ilvl w:val="0"/>
          <w:numId w:val="2"/>
        </w:numPr>
      </w:pPr>
      <w:r>
        <w:t xml:space="preserve">Week 1: Clustering runs and initial cohort validation</w:t>
      </w:r>
    </w:p>
    <w:p>
      <w:pPr>
        <w:pStyle w:val="BodyText"/>
        <w:numPr>
          <w:ilvl w:val="0"/>
          <w:numId w:val="2"/>
        </w:numPr>
      </w:pPr>
      <w:r>
        <w:t xml:space="preserve">Week 2: Strategic role assignment and persona card drafting</w:t>
      </w:r>
    </w:p>
    <w:p>
      <w:pPr>
        <w:pStyle w:val="BodyText"/>
        <w:numPr>
          <w:ilvl w:val="0"/>
          <w:numId w:val="2"/>
        </w:numPr>
      </w:pPr>
      <w:r>
        <w:t xml:space="preserve">Week 3: Coverage validation (confirm ~75% audience coverage) and stakeholder review</w:t>
      </w:r>
    </w:p>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none" w:color="FFFFFF" w:sz="0"/>
              <w:left w:val="none" w:color="FFFFFF" w:sz="0"/>
              <w:bottom w:val="none" w:color="FFFFFF" w:sz="0"/>
              <w:right w:val="none" w:color="FFFFFF" w:sz="0"/>
            </w:tcBorders>
            <w:shd w:fill="533483" w:val="clear"/>
          </w:tcPr>
          <w:p>
            <w:r>
              <w:t xml:space="preserve"/>
            </w:r>
          </w:p>
        </w:tc>
        <w:tc>
          <w:tcPr>
            <w:tcW w:type="dxa" w:w="8820"/>
            <w:tcBorders>
              <w:top w:val="none" w:color="FFFFFF" w:sz="0"/>
              <w:left w:val="none" w:color="FFFFFF" w:sz="0"/>
              <w:bottom w:val="none" w:color="FFFFFF" w:sz="0"/>
              <w:right w:val="none" w:color="FFFFFF" w:sz="0"/>
            </w:tcBorders>
            <w:shd w:fill="F0F2F8" w:val="clear"/>
          </w:tcPr>
          <w:p>
            <w:pPr>
              <w:spacing w:after="20" w:before="100"/>
            </w:pPr>
            <w:r>
              <w:rPr>
                <w:rFonts w:ascii="Arial" w:cs="Arial" w:eastAsia="Arial" w:hAnsi="Arial"/>
                <w:b/>
                <w:bCs/>
                <w:caps/>
                <w:color w:val="533483"/>
                <w:sz w:val="18"/>
                <w:szCs w:val="18"/>
              </w:rPr>
              <w:t xml:space="preserve">Phase 3</w:t>
            </w:r>
          </w:p>
          <w:p>
            <w:pPr>
              <w:spacing w:after="100" w:before="0"/>
            </w:pPr>
            <w:r>
              <w:rPr>
                <w:rFonts w:ascii="Arial" w:cs="Arial" w:eastAsia="Arial" w:hAnsi="Arial"/>
                <w:b/>
                <w:bCs/>
                <w:color w:val="1A1A2E"/>
                <w:sz w:val="28"/>
                <w:szCs w:val="28"/>
              </w:rPr>
              <w:t xml:space="preserve">AI Model Training</w:t>
            </w:r>
          </w:p>
        </w:tc>
      </w:tr>
    </w:tbl>
    <w:p>
      <w:pPr>
        <w:spacing w:after="80"/>
      </w:pPr>
      <w:r>
        <w:t xml:space="preserve"/>
      </w:r>
    </w:p>
    <w:p>
      <w:pPr>
        <w:pStyle w:val="BodyText"/>
      </w:pPr>
      <w:r>
        <w:t xml:space="preserve">Phase 3 trains the pseudo-viewer models that form the core of the simulation engine. Each persona from Phase 2 becomes the training target for a dedicated model, calibrated against historical Fatafat show performance data.</w:t>
      </w:r>
    </w:p>
    <w:p>
      <w:pPr>
        <w:pStyle w:val="Heading2"/>
      </w:pPr>
      <w:r>
        <w:t xml:space="preserve">6.1 Training Data Construction</w:t>
      </w:r>
    </w:p>
    <w:p>
      <w:pPr>
        <w:pStyle w:val="BodyText"/>
        <w:numPr>
          <w:ilvl w:val="0"/>
          <w:numId w:val="2"/>
        </w:numPr>
      </w:pPr>
      <w:r>
        <w:t xml:space="preserve">Historical show performance: 12–24 months of Fatafat streaming data, segmented by persona cluster membership</w:t>
      </w:r>
    </w:p>
    <w:p>
      <w:pPr>
        <w:pStyle w:val="BodyText"/>
        <w:numPr>
          <w:ilvl w:val="0"/>
          <w:numId w:val="2"/>
        </w:numPr>
      </w:pPr>
      <w:r>
        <w:t xml:space="preserve">Show-level outcomes: Completion rates, retention curve shape, episode drop-off timing, binge rates per persona segment</w:t>
      </w:r>
    </w:p>
    <w:p>
      <w:pPr>
        <w:pStyle w:val="BodyText"/>
        <w:numPr>
          <w:ilvl w:val="0"/>
          <w:numId w:val="2"/>
        </w:numPr>
      </w:pPr>
      <w:r>
        <w:t xml:space="preserve">Content attributes: Genre, episode length, narrative complexity (proxy: pacing score from retention curve shape), cast profile, original vs. acquired</w:t>
      </w:r>
    </w:p>
    <w:p>
      <w:pPr>
        <w:pStyle w:val="BodyText"/>
        <w:numPr>
          <w:ilvl w:val="0"/>
          <w:numId w:val="2"/>
        </w:numPr>
      </w:pPr>
      <w:r>
        <w:t xml:space="preserve">Commercial outcomes: Session frequency, ad exposure per persona, interest-segment engagement patterns</w:t>
      </w:r>
    </w:p>
    <w:p>
      <w:pPr>
        <w:pStyle w:val="Heading2"/>
      </w:pPr>
      <w:r>
        <w:t xml:space="preserve">6.2 Model Outputs</w:t>
      </w:r>
    </w:p>
    <w:p>
      <w:pPr>
        <w:pStyle w:val="BodyText"/>
      </w:pPr>
      <w:r>
        <w:t xml:space="preserve">For each incoming content concept or script, the trained models produce: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4320"/>
        <w:gridCol w:w="2700"/>
      </w:tblGrid>
      <w:tr>
        <w:trPr>
          <w:tblHeader/>
        </w:trPr>
        <w:tc>
          <w:tcPr>
            <w:tcW w:type="dxa" w:w="2340"/>
            <w:tcBorders>
              <w:top w:val="single" w:color="CCCCCC" w:sz="1"/>
              <w:left w:val="single" w:color="CCCCCC" w:sz="1"/>
              <w:bottom w:val="single" w:color="CCCCCC" w:sz="1"/>
              <w:right w:val="single" w:color="CCCCCC" w:sz="1"/>
            </w:tcBorders>
            <w:shd w:fill="16213E" w:val="clear"/>
            <w:vAlign w:val="center"/>
          </w:tcPr>
          <w:p>
            <w:pPr>
              <w:spacing w:after="80" w:before="80"/>
              <w:jc w:val="center"/>
            </w:pPr>
            <w:r>
              <w:rPr>
                <w:rFonts w:ascii="Arial" w:cs="Arial" w:eastAsia="Arial" w:hAnsi="Arial"/>
                <w:b/>
                <w:bCs/>
                <w:color w:val="FFFFFF"/>
                <w:sz w:val="20"/>
                <w:szCs w:val="20"/>
              </w:rPr>
              <w:t xml:space="preserve">Output Type</w:t>
            </w:r>
          </w:p>
        </w:tc>
        <w:tc>
          <w:tcPr>
            <w:tcW w:type="dxa" w:w="4320"/>
            <w:tcBorders>
              <w:top w:val="single" w:color="CCCCCC" w:sz="1"/>
              <w:left w:val="single" w:color="CCCCCC" w:sz="1"/>
              <w:bottom w:val="single" w:color="CCCCCC" w:sz="1"/>
              <w:right w:val="single" w:color="CCCCCC" w:sz="1"/>
            </w:tcBorders>
            <w:shd w:fill="16213E" w:val="clear"/>
            <w:vAlign w:val="center"/>
          </w:tcPr>
          <w:p>
            <w:pPr>
              <w:spacing w:after="80" w:before="80"/>
              <w:jc w:val="center"/>
            </w:pPr>
            <w:r>
              <w:rPr>
                <w:rFonts w:ascii="Arial" w:cs="Arial" w:eastAsia="Arial" w:hAnsi="Arial"/>
                <w:b/>
                <w:bCs/>
                <w:color w:val="FFFFFF"/>
                <w:sz w:val="20"/>
                <w:szCs w:val="20"/>
              </w:rPr>
              <w:t xml:space="preserve">Description</w:t>
            </w:r>
          </w:p>
        </w:tc>
        <w:tc>
          <w:tcPr>
            <w:tcW w:type="dxa" w:w="2700"/>
            <w:tcBorders>
              <w:top w:val="single" w:color="CCCCCC" w:sz="1"/>
              <w:left w:val="single" w:color="CCCCCC" w:sz="1"/>
              <w:bottom w:val="single" w:color="CCCCCC" w:sz="1"/>
              <w:right w:val="single" w:color="CCCCCC" w:sz="1"/>
            </w:tcBorders>
            <w:shd w:fill="16213E" w:val="clear"/>
            <w:vAlign w:val="center"/>
          </w:tcPr>
          <w:p>
            <w:pPr>
              <w:spacing w:after="80" w:before="80"/>
              <w:jc w:val="center"/>
            </w:pPr>
            <w:r>
              <w:rPr>
                <w:rFonts w:ascii="Arial" w:cs="Arial" w:eastAsia="Arial" w:hAnsi="Arial"/>
                <w:b/>
                <w:bCs/>
                <w:color w:val="FFFFFF"/>
                <w:sz w:val="20"/>
                <w:szCs w:val="20"/>
              </w:rPr>
              <w:t xml:space="preserve">Format</w:t>
            </w:r>
          </w:p>
        </w:tc>
      </w:tr>
      <w:tr>
        <w:tc>
          <w:tcPr>
            <w:tcW w:type="dxa" w:w="234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bCs/>
                <w:color w:val="2D2D2D"/>
                <w:sz w:val="20"/>
                <w:szCs w:val="20"/>
              </w:rPr>
              <w:t xml:space="preserve">Engagement Prediction</w:t>
            </w:r>
          </w:p>
        </w:tc>
        <w:tc>
          <w:tcPr>
            <w:tcW w:type="dxa" w:w="432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val="false"/>
                <w:bCs w:val="false"/>
                <w:color w:val="2D2D2D"/>
                <w:sz w:val="20"/>
                <w:szCs w:val="20"/>
              </w:rPr>
              <w:t xml:space="preserve">Estimated retention curve trajectory and episode completion likelihood, per persona</w:t>
            </w:r>
          </w:p>
        </w:tc>
        <w:tc>
          <w:tcPr>
            <w:tcW w:type="dxa" w:w="270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val="false"/>
                <w:bCs w:val="false"/>
                <w:color w:val="2D2D2D"/>
                <w:sz w:val="20"/>
                <w:szCs w:val="20"/>
              </w:rPr>
              <w:t xml:space="preserve">Curve projection + completion % with confidence band</w:t>
            </w:r>
          </w:p>
        </w:tc>
      </w:tr>
      <w:tr>
        <w:tc>
          <w:tcPr>
            <w:tcW w:type="dxa" w:w="234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color w:val="2D2D2D"/>
                <w:sz w:val="20"/>
                <w:szCs w:val="20"/>
              </w:rPr>
              <w:t xml:space="preserve">Narrative Density Fit</w:t>
            </w:r>
          </w:p>
        </w:tc>
        <w:tc>
          <w:tcPr>
            <w:tcW w:type="dxa" w:w="432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Match between content pacing/complexity and persona tolerance profile derived from historical preferences</w:t>
            </w:r>
          </w:p>
        </w:tc>
        <w:tc>
          <w:tcPr>
            <w:tcW w:type="dxa" w:w="27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Fit score 0–100 with flagged mismatches</w:t>
            </w:r>
          </w:p>
        </w:tc>
      </w:tr>
      <w:tr>
        <w:tc>
          <w:tcPr>
            <w:tcW w:type="dxa" w:w="234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bCs/>
                <w:color w:val="2D2D2D"/>
                <w:sz w:val="20"/>
                <w:szCs w:val="20"/>
              </w:rPr>
              <w:t xml:space="preserve">Audience-Fit Score</w:t>
            </w:r>
          </w:p>
        </w:tc>
        <w:tc>
          <w:tcPr>
            <w:tcW w:type="dxa" w:w="432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val="false"/>
                <w:bCs w:val="false"/>
                <w:color w:val="2D2D2D"/>
                <w:sz w:val="20"/>
                <w:szCs w:val="20"/>
              </w:rPr>
              <w:t xml:space="preserve">Multi-dimensional compatibility score across retention alignment, interest-genre fit, and demographic skew</w:t>
            </w:r>
          </w:p>
        </w:tc>
        <w:tc>
          <w:tcPr>
            <w:tcW w:type="dxa" w:w="270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val="false"/>
                <w:bCs w:val="false"/>
                <w:color w:val="2D2D2D"/>
                <w:sz w:val="20"/>
                <w:szCs w:val="20"/>
              </w:rPr>
              <w:t xml:space="preserve">Composite score with dimension breakdown</w:t>
            </w:r>
          </w:p>
        </w:tc>
      </w:tr>
      <w:tr>
        <w:tc>
          <w:tcPr>
            <w:tcW w:type="dxa" w:w="234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color w:val="2D2D2D"/>
                <w:sz w:val="20"/>
                <w:szCs w:val="20"/>
              </w:rPr>
              <w:t xml:space="preserve">Slate Gap Signal</w:t>
            </w:r>
          </w:p>
        </w:tc>
        <w:tc>
          <w:tcPr>
            <w:tcW w:type="dxa" w:w="432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Whether the content concept addresses an identified demand gap for one or more personas in the current Fatafat slate</w:t>
            </w:r>
          </w:p>
        </w:tc>
        <w:tc>
          <w:tcPr>
            <w:tcW w:type="dxa" w:w="27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Gap match flag + underserved persona list</w:t>
            </w:r>
          </w:p>
        </w:tc>
      </w:tr>
    </w:tbl>
    <w:p>
      <w:pPr>
        <w:spacing w:after="80"/>
      </w:pPr>
      <w:r>
        <w:t xml:space="preserve"/>
      </w:r>
    </w:p>
    <w:p>
      <w:pPr>
        <w:pStyle w:val="Heading2"/>
      </w:pPr>
      <w:r>
        <w:t xml:space="preserve">6.3 Calibration and Validation</w:t>
      </w:r>
    </w:p>
    <w:p>
      <w:pPr>
        <w:pStyle w:val="BodyText"/>
      </w:pPr>
      <w:r>
        <w:t xml:space="preserve">Models will be validated against a held-out set of historical Fatafat shows (not used in training) to establish baseline prediction accuracy before deployment:</w:t>
      </w:r>
    </w:p>
    <w:p>
      <w:pPr>
        <w:pStyle w:val="BodyText"/>
        <w:numPr>
          <w:ilvl w:val="0"/>
          <w:numId w:val="2"/>
        </w:numPr>
      </w:pPr>
      <w:r>
        <w:t xml:space="preserve">Hold-out validation set: Last 3 months of new Fatafat show launches</w:t>
      </w:r>
    </w:p>
    <w:p>
      <w:pPr>
        <w:pStyle w:val="BodyText"/>
        <w:numPr>
          <w:ilvl w:val="0"/>
          <w:numId w:val="2"/>
        </w:numPr>
      </w:pPr>
      <w:r>
        <w:t xml:space="preserve">Primary accuracy metric: Predicted vs. actual retention curve correlation (Pearson r) per persona</w:t>
      </w:r>
    </w:p>
    <w:p>
      <w:pPr>
        <w:pStyle w:val="BodyText"/>
        <w:numPr>
          <w:ilvl w:val="0"/>
          <w:numId w:val="2"/>
        </w:numPr>
      </w:pPr>
      <w:r>
        <w:t xml:space="preserve">Secondary metrics: Episode completion rate prediction error (MAE), audience-fit score vs. actual persona engagement split</w:t>
      </w:r>
    </w:p>
    <w:p>
      <w:pPr>
        <w:pStyle w:val="BodyText"/>
        <w:numPr>
          <w:ilvl w:val="0"/>
          <w:numId w:val="2"/>
        </w:numPr>
      </w:pPr>
      <w:r>
        <w:t xml:space="preserve">Minimum accuracy threshold for pilot deployment: r ≥ 0.70 on retention curve prediction across held-out set</w:t>
      </w:r>
    </w:p>
    <w:p>
      <w:pPr>
        <w:pStyle w:val="Heading3"/>
      </w:pPr>
      <w:r>
        <w:t xml:space="preserve">Phase 3 Timeline</w:t>
      </w:r>
    </w:p>
    <w:p>
      <w:pPr>
        <w:pStyle w:val="BodyText"/>
        <w:numPr>
          <w:ilvl w:val="0"/>
          <w:numId w:val="2"/>
        </w:numPr>
      </w:pPr>
      <w:r>
        <w:t xml:space="preserve">Estimated duration: 4–6 weeks (following Phase 2 completion)</w:t>
      </w:r>
    </w:p>
    <w:p>
      <w:pPr>
        <w:pStyle w:val="BodyText"/>
        <w:numPr>
          <w:ilvl w:val="0"/>
          <w:numId w:val="2"/>
        </w:numPr>
      </w:pPr>
      <w:r>
        <w:t xml:space="preserve">Weeks 1–2: Training data construction and feature engineering</w:t>
      </w:r>
    </w:p>
    <w:p>
      <w:pPr>
        <w:pStyle w:val="BodyText"/>
        <w:numPr>
          <w:ilvl w:val="0"/>
          <w:numId w:val="2"/>
        </w:numPr>
      </w:pPr>
      <w:r>
        <w:t xml:space="preserve">Weeks 3–4: Model training per persona</w:t>
      </w:r>
    </w:p>
    <w:p>
      <w:pPr>
        <w:pStyle w:val="BodyText"/>
        <w:numPr>
          <w:ilvl w:val="0"/>
          <w:numId w:val="2"/>
        </w:numPr>
      </w:pPr>
      <w:r>
        <w:t xml:space="preserve">Weeks 5–6: Calibration, hold-out validation, accuracy documentation</w:t>
      </w:r>
    </w:p>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none" w:color="FFFFFF" w:sz="0"/>
              <w:left w:val="none" w:color="FFFFFF" w:sz="0"/>
              <w:bottom w:val="none" w:color="FFFFFF" w:sz="0"/>
              <w:right w:val="none" w:color="FFFFFF" w:sz="0"/>
            </w:tcBorders>
            <w:shd w:fill="1A6B3A" w:val="clear"/>
          </w:tcPr>
          <w:p>
            <w:r>
              <w:t xml:space="preserve"/>
            </w:r>
          </w:p>
        </w:tc>
        <w:tc>
          <w:tcPr>
            <w:tcW w:type="dxa" w:w="8820"/>
            <w:tcBorders>
              <w:top w:val="none" w:color="FFFFFF" w:sz="0"/>
              <w:left w:val="none" w:color="FFFFFF" w:sz="0"/>
              <w:bottom w:val="none" w:color="FFFFFF" w:sz="0"/>
              <w:right w:val="none" w:color="FFFFFF" w:sz="0"/>
            </w:tcBorders>
            <w:shd w:fill="F0F2F8" w:val="clear"/>
          </w:tcPr>
          <w:p>
            <w:pPr>
              <w:spacing w:after="20" w:before="100"/>
            </w:pPr>
            <w:r>
              <w:rPr>
                <w:rFonts w:ascii="Arial" w:cs="Arial" w:eastAsia="Arial" w:hAnsi="Arial"/>
                <w:b/>
                <w:bCs/>
                <w:caps/>
                <w:color w:val="1A6B3A"/>
                <w:sz w:val="18"/>
                <w:szCs w:val="18"/>
              </w:rPr>
              <w:t xml:space="preserve">Phase 4</w:t>
            </w:r>
          </w:p>
          <w:p>
            <w:pPr>
              <w:spacing w:after="100" w:before="0"/>
            </w:pPr>
            <w:r>
              <w:rPr>
                <w:rFonts w:ascii="Arial" w:cs="Arial" w:eastAsia="Arial" w:hAnsi="Arial"/>
                <w:b/>
                <w:bCs/>
                <w:color w:val="1A1A2E"/>
                <w:sz w:val="28"/>
                <w:szCs w:val="28"/>
              </w:rPr>
              <w:t xml:space="preserve">Integration Pilot</w:t>
            </w:r>
          </w:p>
        </w:tc>
      </w:tr>
    </w:tbl>
    <w:p>
      <w:pPr>
        <w:spacing w:after="80"/>
      </w:pPr>
      <w:r>
        <w:t xml:space="preserve"/>
      </w:r>
    </w:p>
    <w:p>
      <w:pPr>
        <w:pStyle w:val="BodyText"/>
      </w:pPr>
      <w:r>
        <w:t xml:space="preserve">Phase 4 moves from model development to real-world validation. The objective is to run the simulation engine against an active or upcoming Fatafat commission, establish output formats and confidence scoring protocols, and generate the first prediction-vs-actuals comparison.</w:t>
      </w:r>
    </w:p>
    <w:p>
      <w:pPr>
        <w:pStyle w:val="Heading2"/>
      </w:pPr>
      <w:r>
        <w:t xml:space="preserve">7.1 Pilot Show Selection Criteria</w:t>
      </w:r>
    </w:p>
    <w:p>
      <w:pPr>
        <w:pStyle w:val="BodyText"/>
        <w:numPr>
          <w:ilvl w:val="0"/>
          <w:numId w:val="2"/>
        </w:numPr>
      </w:pPr>
      <w:r>
        <w:t xml:space="preserve">Show is in active development or pre-production (not yet launched) OR within 4–6 weeks of launch where pre-launch predictions can be compared against incoming actuals</w:t>
      </w:r>
    </w:p>
    <w:p>
      <w:pPr>
        <w:pStyle w:val="BodyText"/>
        <w:numPr>
          <w:ilvl w:val="0"/>
          <w:numId w:val="2"/>
        </w:numPr>
      </w:pPr>
      <w:r>
        <w:t xml:space="preserve">Show has reasonable historical comparables in the Fatafat catalog for model calibration</w:t>
      </w:r>
    </w:p>
    <w:p>
      <w:pPr>
        <w:pStyle w:val="BodyText"/>
        <w:numPr>
          <w:ilvl w:val="0"/>
          <w:numId w:val="2"/>
        </w:numPr>
      </w:pPr>
      <w:r>
        <w:t xml:space="preserve">Content and commissioning team has agreed to participate and share production/brief materials</w:t>
      </w:r>
    </w:p>
    <w:p>
      <w:pPr>
        <w:pStyle w:val="BodyText"/>
        <w:numPr>
          <w:ilvl w:val="0"/>
          <w:numId w:val="2"/>
        </w:numPr>
      </w:pPr>
      <w:r>
        <w:t xml:space="preserve">Show spans at least 2–3 target personas to enable multi-persona simulation output</w:t>
      </w:r>
    </w:p>
    <w:p>
      <w:pPr>
        <w:pStyle w:val="Heading2"/>
      </w:pPr>
      <w:r>
        <w:t xml:space="preserve">7.2 Pilot Process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60"/>
        <w:gridCol w:w="2400"/>
        <w:gridCol w:w="6600"/>
      </w:tblGrid>
      <w:tr>
        <w:trPr>
          <w:tblHeader/>
        </w:trPr>
        <w:tc>
          <w:tcPr>
            <w:tcW w:type="dxa" w:w="360"/>
            <w:tcBorders>
              <w:top w:val="single" w:color="CCCCCC" w:sz="1"/>
              <w:left w:val="single" w:color="CCCCCC" w:sz="1"/>
              <w:bottom w:val="single" w:color="CCCCCC" w:sz="1"/>
              <w:right w:val="single" w:color="CCCCCC" w:sz="1"/>
            </w:tcBorders>
            <w:shd w:fill="16213E" w:val="clear"/>
            <w:vAlign w:val="center"/>
          </w:tcPr>
          <w:p>
            <w:pPr>
              <w:spacing w:after="80" w:before="80"/>
              <w:jc w:val="center"/>
            </w:pPr>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6213E" w:val="clear"/>
            <w:vAlign w:val="center"/>
          </w:tcPr>
          <w:p>
            <w:pPr>
              <w:spacing w:after="80" w:before="80"/>
              <w:jc w:val="center"/>
            </w:pPr>
            <w:r>
              <w:rPr>
                <w:rFonts w:ascii="Arial" w:cs="Arial" w:eastAsia="Arial" w:hAnsi="Arial"/>
                <w:b/>
                <w:bCs/>
                <w:color w:val="FFFFFF"/>
                <w:sz w:val="20"/>
                <w:szCs w:val="20"/>
              </w:rPr>
              <w:t xml:space="preserve">Step</w:t>
            </w:r>
          </w:p>
        </w:tc>
        <w:tc>
          <w:tcPr>
            <w:tcW w:type="dxa" w:w="6600"/>
            <w:tcBorders>
              <w:top w:val="single" w:color="CCCCCC" w:sz="1"/>
              <w:left w:val="single" w:color="CCCCCC" w:sz="1"/>
              <w:bottom w:val="single" w:color="CCCCCC" w:sz="1"/>
              <w:right w:val="single" w:color="CCCCCC" w:sz="1"/>
            </w:tcBorders>
            <w:shd w:fill="16213E" w:val="clear"/>
            <w:vAlign w:val="center"/>
          </w:tcPr>
          <w:p>
            <w:pPr>
              <w:spacing w:after="80" w:before="80"/>
              <w:jc w:val="center"/>
            </w:pPr>
            <w:r>
              <w:rPr>
                <w:rFonts w:ascii="Arial" w:cs="Arial" w:eastAsia="Arial" w:hAnsi="Arial"/>
                <w:b/>
                <w:bCs/>
                <w:color w:val="FFFFFF"/>
                <w:sz w:val="20"/>
                <w:szCs w:val="20"/>
              </w:rPr>
              <w:t xml:space="preserve">Detail</w:t>
            </w:r>
          </w:p>
        </w:tc>
      </w:tr>
      <w:tr>
        <w:tc>
          <w:tcPr>
            <w:tcW w:type="dxa" w:w="360"/>
            <w:tcBorders>
              <w:top w:val="single" w:color="CCCCCC" w:sz="1"/>
              <w:left w:val="single" w:color="CCCCCC" w:sz="1"/>
              <w:bottom w:val="single" w:color="CCCCCC" w:sz="1"/>
              <w:right w:val="single" w:color="CCCCCC" w:sz="1"/>
            </w:tcBorders>
            <w:shd w:fill="F2F4F8" w:val="clear"/>
          </w:tcPr>
          <w:p>
            <w:pPr>
              <w:spacing w:after="80" w:before="80"/>
              <w:jc w:val="center"/>
            </w:pPr>
            <w:r>
              <w:rPr>
                <w:rFonts w:ascii="Arial" w:cs="Arial" w:eastAsia="Arial" w:hAnsi="Arial"/>
                <w:b/>
                <w:bCs/>
                <w:color w:val="2D2D2D"/>
                <w:sz w:val="20"/>
                <w:szCs w:val="20"/>
              </w:rPr>
              <w:t xml:space="preserve">1</w:t>
            </w:r>
          </w:p>
        </w:tc>
        <w:tc>
          <w:tcPr>
            <w:tcW w:type="dxa" w:w="240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bCs/>
                <w:color w:val="2D2D2D"/>
                <w:sz w:val="20"/>
                <w:szCs w:val="20"/>
              </w:rPr>
              <w:t xml:space="preserve">Brief intake</w:t>
            </w:r>
          </w:p>
        </w:tc>
        <w:tc>
          <w:tcPr>
            <w:tcW w:type="dxa" w:w="660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val="false"/>
                <w:bCs w:val="false"/>
                <w:color w:val="2D2D2D"/>
                <w:sz w:val="20"/>
                <w:szCs w:val="20"/>
              </w:rPr>
              <w:t xml:space="preserve">Ingest show concept brief, episode structure, and available script or treatment into simulation engine input format</w:t>
            </w:r>
          </w:p>
        </w:tc>
      </w:tr>
      <w:tr>
        <w:tc>
          <w:tcPr>
            <w:tcW w:type="dxa" w:w="360"/>
            <w:tcBorders>
              <w:top w:val="single" w:color="CCCCCC" w:sz="1"/>
              <w:left w:val="single" w:color="CCCCCC" w:sz="1"/>
              <w:bottom w:val="single" w:color="CCCCCC" w:sz="1"/>
              <w:right w:val="single" w:color="CCCCCC" w:sz="1"/>
            </w:tcBorders>
            <w:shd w:fill="FFFFFF" w:val="clear"/>
          </w:tcPr>
          <w:p>
            <w:pPr>
              <w:spacing w:after="80" w:before="80"/>
              <w:jc w:val="center"/>
            </w:pPr>
            <w:r>
              <w:rPr>
                <w:rFonts w:ascii="Arial" w:cs="Arial" w:eastAsia="Arial" w:hAnsi="Arial"/>
                <w:b/>
                <w:bCs/>
                <w:color w:val="2D2D2D"/>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color w:val="2D2D2D"/>
                <w:sz w:val="20"/>
                <w:szCs w:val="20"/>
              </w:rPr>
              <w:t xml:space="preserve">Persona simulation run</w:t>
            </w:r>
          </w:p>
        </w:tc>
        <w:tc>
          <w:tcPr>
            <w:tcW w:type="dxa" w:w="66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Run pseudo-viewer models for each relevant persona; generate engagement prediction, narrative fit score, and audience-fit score</w:t>
            </w:r>
          </w:p>
        </w:tc>
      </w:tr>
      <w:tr>
        <w:tc>
          <w:tcPr>
            <w:tcW w:type="dxa" w:w="360"/>
            <w:tcBorders>
              <w:top w:val="single" w:color="CCCCCC" w:sz="1"/>
              <w:left w:val="single" w:color="CCCCCC" w:sz="1"/>
              <w:bottom w:val="single" w:color="CCCCCC" w:sz="1"/>
              <w:right w:val="single" w:color="CCCCCC" w:sz="1"/>
            </w:tcBorders>
            <w:shd w:fill="F2F4F8" w:val="clear"/>
          </w:tcPr>
          <w:p>
            <w:pPr>
              <w:spacing w:after="80" w:before="80"/>
              <w:jc w:val="center"/>
            </w:pPr>
            <w:r>
              <w:rPr>
                <w:rFonts w:ascii="Arial" w:cs="Arial" w:eastAsia="Arial" w:hAnsi="Arial"/>
                <w:b/>
                <w:bCs/>
                <w:color w:val="2D2D2D"/>
                <w:sz w:val="20"/>
                <w:szCs w:val="20"/>
              </w:rPr>
              <w:t xml:space="preserve">3</w:t>
            </w:r>
          </w:p>
        </w:tc>
        <w:tc>
          <w:tcPr>
            <w:tcW w:type="dxa" w:w="240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bCs/>
                <w:color w:val="2D2D2D"/>
                <w:sz w:val="20"/>
                <w:szCs w:val="20"/>
              </w:rPr>
              <w:t xml:space="preserve">Output review</w:t>
            </w:r>
          </w:p>
        </w:tc>
        <w:tc>
          <w:tcPr>
            <w:tcW w:type="dxa" w:w="660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val="false"/>
                <w:bCs w:val="false"/>
                <w:color w:val="2D2D2D"/>
                <w:sz w:val="20"/>
                <w:szCs w:val="20"/>
              </w:rPr>
              <w:t xml:space="preserve">Review outputs with content team; document confidence scores and flag any low-fit personas or narrative density mismatches</w:t>
            </w:r>
          </w:p>
        </w:tc>
      </w:tr>
      <w:tr>
        <w:tc>
          <w:tcPr>
            <w:tcW w:type="dxa" w:w="360"/>
            <w:tcBorders>
              <w:top w:val="single" w:color="CCCCCC" w:sz="1"/>
              <w:left w:val="single" w:color="CCCCCC" w:sz="1"/>
              <w:bottom w:val="single" w:color="CCCCCC" w:sz="1"/>
              <w:right w:val="single" w:color="CCCCCC" w:sz="1"/>
            </w:tcBorders>
            <w:shd w:fill="FFFFFF" w:val="clear"/>
          </w:tcPr>
          <w:p>
            <w:pPr>
              <w:spacing w:after="80" w:before="80"/>
              <w:jc w:val="center"/>
            </w:pPr>
            <w:r>
              <w:rPr>
                <w:rFonts w:ascii="Arial" w:cs="Arial" w:eastAsia="Arial" w:hAnsi="Arial"/>
                <w:b/>
                <w:bCs/>
                <w:color w:val="2D2D2D"/>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color w:val="2D2D2D"/>
                <w:sz w:val="20"/>
                <w:szCs w:val="20"/>
              </w:rPr>
              <w:t xml:space="preserve">Post-launch tracking</w:t>
            </w:r>
          </w:p>
        </w:tc>
        <w:tc>
          <w:tcPr>
            <w:tcW w:type="dxa" w:w="66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Track actual show performance by persona segment in Redshift after launch; compare predicted vs. actual retention curves</w:t>
            </w:r>
          </w:p>
        </w:tc>
      </w:tr>
      <w:tr>
        <w:tc>
          <w:tcPr>
            <w:tcW w:type="dxa" w:w="360"/>
            <w:tcBorders>
              <w:top w:val="single" w:color="CCCCCC" w:sz="1"/>
              <w:left w:val="single" w:color="CCCCCC" w:sz="1"/>
              <w:bottom w:val="single" w:color="CCCCCC" w:sz="1"/>
              <w:right w:val="single" w:color="CCCCCC" w:sz="1"/>
            </w:tcBorders>
            <w:shd w:fill="F2F4F8" w:val="clear"/>
          </w:tcPr>
          <w:p>
            <w:pPr>
              <w:spacing w:after="80" w:before="80"/>
              <w:jc w:val="center"/>
            </w:pPr>
            <w:r>
              <w:rPr>
                <w:rFonts w:ascii="Arial" w:cs="Arial" w:eastAsia="Arial" w:hAnsi="Arial"/>
                <w:b/>
                <w:bCs/>
                <w:color w:val="2D2D2D"/>
                <w:sz w:val="20"/>
                <w:szCs w:val="20"/>
              </w:rPr>
              <w:t xml:space="preserve">5</w:t>
            </w:r>
          </w:p>
        </w:tc>
        <w:tc>
          <w:tcPr>
            <w:tcW w:type="dxa" w:w="240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bCs/>
                <w:color w:val="2D2D2D"/>
                <w:sz w:val="20"/>
                <w:szCs w:val="20"/>
              </w:rPr>
              <w:t xml:space="preserve">Accuracy report</w:t>
            </w:r>
          </w:p>
        </w:tc>
        <w:tc>
          <w:tcPr>
            <w:tcW w:type="dxa" w:w="660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val="false"/>
                <w:bCs w:val="false"/>
                <w:color w:val="2D2D2D"/>
                <w:sz w:val="20"/>
                <w:szCs w:val="20"/>
              </w:rPr>
              <w:t xml:space="preserve">Produce pilot results report with prediction accuracy assessment and model recalibration recommendations</w:t>
            </w:r>
          </w:p>
        </w:tc>
      </w:tr>
    </w:tbl>
    <w:p>
      <w:pPr>
        <w:spacing w:after="80"/>
      </w:pPr>
      <w:r>
        <w:t xml:space="preserve"/>
      </w:r>
    </w:p>
    <w:p>
      <w:pPr>
        <w:pStyle w:val="Heading3"/>
      </w:pPr>
      <w:r>
        <w:t xml:space="preserve">Phase 4 Timeline</w:t>
      </w:r>
    </w:p>
    <w:p>
      <w:pPr>
        <w:pStyle w:val="BodyText"/>
        <w:numPr>
          <w:ilvl w:val="0"/>
          <w:numId w:val="2"/>
        </w:numPr>
      </w:pPr>
      <w:r>
        <w:t xml:space="preserve">Estimated duration: 3–4 weeks</w:t>
      </w:r>
    </w:p>
    <w:p>
      <w:pPr>
        <w:pStyle w:val="BodyText"/>
        <w:numPr>
          <w:ilvl w:val="0"/>
          <w:numId w:val="2"/>
        </w:numPr>
      </w:pPr>
      <w:r>
        <w:t xml:space="preserve">Dependent on pilot show availability and content team engagement</w:t>
      </w:r>
    </w:p>
    <w:p>
      <w:pPr>
        <w:pStyle w:val="BodyText"/>
        <w:numPr>
          <w:ilvl w:val="0"/>
          <w:numId w:val="2"/>
        </w:numPr>
      </w:pPr>
      <w:r>
        <w:t xml:space="preserve">Post-launch accuracy reporting requires 4–6 weeks of show performance data post-launch</w:t>
      </w:r>
    </w:p>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none" w:color="FFFFFF" w:sz="0"/>
              <w:left w:val="none" w:color="FFFFFF" w:sz="0"/>
              <w:bottom w:val="none" w:color="FFFFFF" w:sz="0"/>
              <w:right w:val="none" w:color="FFFFFF" w:sz="0"/>
            </w:tcBorders>
            <w:shd w:fill="B5451B" w:val="clear"/>
          </w:tcPr>
          <w:p>
            <w:r>
              <w:t xml:space="preserve"/>
            </w:r>
          </w:p>
        </w:tc>
        <w:tc>
          <w:tcPr>
            <w:tcW w:type="dxa" w:w="8820"/>
            <w:tcBorders>
              <w:top w:val="none" w:color="FFFFFF" w:sz="0"/>
              <w:left w:val="none" w:color="FFFFFF" w:sz="0"/>
              <w:bottom w:val="none" w:color="FFFFFF" w:sz="0"/>
              <w:right w:val="none" w:color="FFFFFF" w:sz="0"/>
            </w:tcBorders>
            <w:shd w:fill="F0F2F8" w:val="clear"/>
          </w:tcPr>
          <w:p>
            <w:pPr>
              <w:spacing w:after="20" w:before="100"/>
            </w:pPr>
            <w:r>
              <w:rPr>
                <w:rFonts w:ascii="Arial" w:cs="Arial" w:eastAsia="Arial" w:hAnsi="Arial"/>
                <w:b/>
                <w:bCs/>
                <w:caps/>
                <w:color w:val="B5451B"/>
                <w:sz w:val="18"/>
                <w:szCs w:val="18"/>
              </w:rPr>
              <w:t xml:space="preserve">Phase 5</w:t>
            </w:r>
          </w:p>
          <w:p>
            <w:pPr>
              <w:spacing w:after="100" w:before="0"/>
            </w:pPr>
            <w:r>
              <w:rPr>
                <w:rFonts w:ascii="Arial" w:cs="Arial" w:eastAsia="Arial" w:hAnsi="Arial"/>
                <w:b/>
                <w:bCs/>
                <w:color w:val="1A1A2E"/>
                <w:sz w:val="28"/>
                <w:szCs w:val="28"/>
              </w:rPr>
              <w:t xml:space="preserve">Live Deployment</w:t>
            </w:r>
          </w:p>
        </w:tc>
      </w:tr>
    </w:tbl>
    <w:p>
      <w:pPr>
        <w:spacing w:after="80"/>
      </w:pPr>
      <w:r>
        <w:t xml:space="preserve"/>
      </w:r>
    </w:p>
    <w:p>
      <w:pPr>
        <w:pStyle w:val="BodyText"/>
      </w:pPr>
      <w:r>
        <w:t xml:space="preserve">Following successful pilot validation, Phase 5 deploys the Audience Simulation Engine as a production system integrated into content commissioning, slate planning, and advertising workflows at Amazon MX Player Fatafat.</w:t>
      </w:r>
    </w:p>
    <w:p>
      <w:pPr>
        <w:pStyle w:val="Heading2"/>
      </w:pPr>
      <w:r>
        <w:t xml:space="preserve">8.1 Deployment Workstreams</w:t>
      </w:r>
    </w:p>
    <w:p>
      <w:pPr>
        <w:pStyle w:val="BodyText"/>
        <w:numPr>
          <w:ilvl w:val="0"/>
          <w:numId w:val="2"/>
        </w:numPr>
      </w:pPr>
      <w:r>
        <w:t xml:space="preserve">Content commissioning integration: Simulation engine outputs incorporated into the standard commissioning brief review process; persona-fit scores included in greenlight documentation</w:t>
      </w:r>
    </w:p>
    <w:p>
      <w:pPr>
        <w:pStyle w:val="BodyText"/>
        <w:numPr>
          <w:ilvl w:val="0"/>
          <w:numId w:val="2"/>
        </w:numPr>
      </w:pPr>
      <w:r>
        <w:t xml:space="preserve">Slate gap detection dashboard: Real-time dashboard surfacing underserved persona demand signals against the active Fatafat slate; updated weekly from live Redshift queries</w:t>
      </w:r>
    </w:p>
    <w:p>
      <w:pPr>
        <w:pStyle w:val="BodyText"/>
        <w:numPr>
          <w:ilvl w:val="0"/>
          <w:numId w:val="2"/>
        </w:numPr>
      </w:pPr>
      <w:r>
        <w:t xml:space="preserve">Commercial profile matching: Interest and demographic persona overlays made available to the advertising and partnerships team for precision targeting and sponsorship value identification</w:t>
      </w:r>
    </w:p>
    <w:p>
      <w:pPr>
        <w:pStyle w:val="BodyText"/>
        <w:numPr>
          <w:ilvl w:val="0"/>
          <w:numId w:val="2"/>
        </w:numPr>
      </w:pPr>
      <w:r>
        <w:t xml:space="preserve">Model maintenance: Quarterly recalibration of pseudo-viewer models using updated behavioral data; persona set reviewed biannually for cluster drift</w:t>
      </w:r>
    </w:p>
    <w:p>
      <w:pPr>
        <w:pStyle w:val="Heading2"/>
      </w:pPr>
      <w:r>
        <w:t xml:space="preserve">8.2 Deployment Architecture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8"/>
              <w:left w:val="dashed" w:color="999999" w:sz="8"/>
              <w:bottom w:val="dashed" w:color="999999" w:sz="8"/>
              <w:right w:val="dashed" w:color="999999" w:sz="8"/>
            </w:tcBorders>
            <w:shd w:fill="F8F9FA" w:val="clear"/>
          </w:tcPr>
          <w:p>
            <w:pPr>
              <w:spacing w:after="60" w:before="280"/>
              <w:jc w:val="center"/>
            </w:pPr>
            <w:r>
              <w:rPr>
                <w:rFonts w:ascii="Arial" w:cs="Arial" w:eastAsia="Arial" w:hAnsi="Arial"/>
                <w:color w:val="AAAAAA"/>
                <w:sz w:val="36"/>
                <w:szCs w:val="36"/>
              </w:rPr>
              <w:t xml:space="preserve">□  □  □</w:t>
            </w:r>
          </w:p>
          <w:p>
            <w:pPr>
              <w:spacing w:after="60" w:before="0"/>
              <w:jc w:val="center"/>
            </w:pPr>
            <w:r>
              <w:rPr>
                <w:rFonts w:ascii="Arial" w:cs="Arial" w:eastAsia="Arial" w:hAnsi="Arial"/>
                <w:b/>
                <w:bCs/>
                <w:color w:val="444444"/>
                <w:sz w:val="22"/>
                <w:szCs w:val="22"/>
              </w:rPr>
              <w:t xml:space="preserve">Deployment Architecture Diagram — Production Integration Points: Commissioning / Slate Planning / Ad Targeting</w:t>
            </w:r>
          </w:p>
          <w:p>
            <w:pPr>
              <w:spacing w:after="280" w:before="0"/>
              <w:jc w:val="center"/>
            </w:pPr>
            <w:r>
              <w:rPr>
                <w:rFonts w:ascii="Arial" w:cs="Arial" w:eastAsia="Arial" w:hAnsi="Arial"/>
                <w:i/>
                <w:iCs/>
                <w:color w:val="888888"/>
                <w:sz w:val="18"/>
                <w:szCs w:val="18"/>
              </w:rPr>
              <w:t xml:space="preserve">[ Diagram to be inserted ]</w:t>
            </w:r>
          </w:p>
        </w:tc>
      </w:tr>
    </w:tbl>
    <w:p>
      <w:pPr>
        <w:pStyle w:val="Caption"/>
      </w:pPr>
      <w:r>
        <w:t xml:space="preserve">Figure 4: Production deployment architecture showing simulation engine integration with commissioning, slate planning, and advertising workflows</w:t>
      </w:r>
    </w:p>
    <w:p>
      <w:pPr>
        <w:pStyle w:val="Heading3"/>
      </w:pPr>
      <w:r>
        <w:t xml:space="preserve">Phase 5 Timeline</w:t>
      </w:r>
    </w:p>
    <w:p>
      <w:pPr>
        <w:pStyle w:val="BodyText"/>
        <w:numPr>
          <w:ilvl w:val="0"/>
          <w:numId w:val="2"/>
        </w:numPr>
      </w:pPr>
      <w:r>
        <w:t xml:space="preserve">Estimated duration: 4–6 weeks (following Phase 4 pilot validation)</w:t>
      </w:r>
    </w:p>
    <w:p>
      <w:pPr>
        <w:pStyle w:val="BodyText"/>
        <w:numPr>
          <w:ilvl w:val="0"/>
          <w:numId w:val="2"/>
        </w:numPr>
      </w:pPr>
      <w:r>
        <w:t xml:space="preserve">Weeks 1–2: Production infrastructure setup and dashboard development</w:t>
      </w:r>
    </w:p>
    <w:p>
      <w:pPr>
        <w:pStyle w:val="BodyText"/>
        <w:numPr>
          <w:ilvl w:val="0"/>
          <w:numId w:val="2"/>
        </w:numPr>
      </w:pPr>
      <w:r>
        <w:t xml:space="preserve">Weeks 3–4: Integration testing with commissioning and commercial teams</w:t>
      </w:r>
    </w:p>
    <w:p>
      <w:pPr>
        <w:pStyle w:val="BodyText"/>
        <w:numPr>
          <w:ilvl w:val="0"/>
          <w:numId w:val="2"/>
        </w:numPr>
      </w:pPr>
      <w:r>
        <w:t xml:space="preserve">Weeks 5–6: Soft launch, monitoring setup, and full deployment</w:t>
      </w:r>
    </w:p>
    <w:p>
      <w:pPr>
        <w:spacing w:after="80"/>
      </w:pPr>
      <w:r>
        <w:t xml:space="preserve"/>
      </w:r>
    </w:p>
    <w:p>
      <w:pPr>
        <w:pStyle w:val="Heading1"/>
      </w:pPr>
      <w:r>
        <w:t xml:space="preserve">9. Roadmap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40"/>
        <w:gridCol w:w="2340"/>
        <w:gridCol w:w="3600"/>
        <w:gridCol w:w="1440"/>
        <w:gridCol w:w="1440"/>
      </w:tblGrid>
      <w:tr>
        <w:trPr>
          <w:tblHeader/>
        </w:trPr>
        <w:tc>
          <w:tcPr>
            <w:tcW w:type="dxa" w:w="540"/>
            <w:tcBorders>
              <w:top w:val="single" w:color="CCCCCC" w:sz="1"/>
              <w:left w:val="single" w:color="CCCCCC" w:sz="1"/>
              <w:bottom w:val="single" w:color="CCCCCC" w:sz="1"/>
              <w:right w:val="single" w:color="CCCCCC" w:sz="1"/>
            </w:tcBorders>
            <w:shd w:fill="16213E" w:val="clear"/>
            <w:vAlign w:val="center"/>
          </w:tcPr>
          <w:p>
            <w:pPr>
              <w:spacing w:after="80" w:before="80"/>
              <w:jc w:val="center"/>
            </w:pPr>
            <w:r>
              <w:rPr>
                <w:rFonts w:ascii="Arial" w:cs="Arial" w:eastAsia="Arial" w:hAnsi="Arial"/>
                <w:b/>
                <w:bCs/>
                <w:color w:val="FFFFFF"/>
                <w:sz w:val="20"/>
                <w:szCs w:val="20"/>
              </w:rPr>
              <w:t xml:space="preserve">Phase</w:t>
            </w:r>
          </w:p>
        </w:tc>
        <w:tc>
          <w:tcPr>
            <w:tcW w:type="dxa" w:w="2340"/>
            <w:tcBorders>
              <w:top w:val="single" w:color="CCCCCC" w:sz="1"/>
              <w:left w:val="single" w:color="CCCCCC" w:sz="1"/>
              <w:bottom w:val="single" w:color="CCCCCC" w:sz="1"/>
              <w:right w:val="single" w:color="CCCCCC" w:sz="1"/>
            </w:tcBorders>
            <w:shd w:fill="16213E" w:val="clear"/>
            <w:vAlign w:val="center"/>
          </w:tcPr>
          <w:p>
            <w:pPr>
              <w:spacing w:after="80" w:before="80"/>
              <w:jc w:val="center"/>
            </w:pPr>
            <w:r>
              <w:rPr>
                <w:rFonts w:ascii="Arial" w:cs="Arial" w:eastAsia="Arial" w:hAnsi="Arial"/>
                <w:b/>
                <w:bCs/>
                <w:color w:val="FFFFFF"/>
                <w:sz w:val="20"/>
                <w:szCs w:val="20"/>
              </w:rPr>
              <w:t xml:space="preserve">Name</w:t>
            </w:r>
          </w:p>
        </w:tc>
        <w:tc>
          <w:tcPr>
            <w:tcW w:type="dxa" w:w="3600"/>
            <w:tcBorders>
              <w:top w:val="single" w:color="CCCCCC" w:sz="1"/>
              <w:left w:val="single" w:color="CCCCCC" w:sz="1"/>
              <w:bottom w:val="single" w:color="CCCCCC" w:sz="1"/>
              <w:right w:val="single" w:color="CCCCCC" w:sz="1"/>
            </w:tcBorders>
            <w:shd w:fill="16213E" w:val="clear"/>
            <w:vAlign w:val="center"/>
          </w:tcPr>
          <w:p>
            <w:pPr>
              <w:spacing w:after="80" w:before="80"/>
              <w:jc w:val="center"/>
            </w:pPr>
            <w:r>
              <w:rPr>
                <w:rFonts w:ascii="Arial" w:cs="Arial" w:eastAsia="Arial" w:hAnsi="Arial"/>
                <w:b/>
                <w:bCs/>
                <w:color w:val="FFFFFF"/>
                <w:sz w:val="20"/>
                <w:szCs w:val="20"/>
              </w:rPr>
              <w:t xml:space="preserve">Key Deliverable</w:t>
            </w:r>
          </w:p>
        </w:tc>
        <w:tc>
          <w:tcPr>
            <w:tcW w:type="dxa" w:w="1440"/>
            <w:tcBorders>
              <w:top w:val="single" w:color="CCCCCC" w:sz="1"/>
              <w:left w:val="single" w:color="CCCCCC" w:sz="1"/>
              <w:bottom w:val="single" w:color="CCCCCC" w:sz="1"/>
              <w:right w:val="single" w:color="CCCCCC" w:sz="1"/>
            </w:tcBorders>
            <w:shd w:fill="16213E" w:val="clear"/>
            <w:vAlign w:val="center"/>
          </w:tcPr>
          <w:p>
            <w:pPr>
              <w:spacing w:after="80" w:before="80"/>
              <w:jc w:val="center"/>
            </w:pPr>
            <w:r>
              <w:rPr>
                <w:rFonts w:ascii="Arial" w:cs="Arial" w:eastAsia="Arial" w:hAnsi="Arial"/>
                <w:b/>
                <w:bCs/>
                <w:color w:val="FFFFFF"/>
                <w:sz w:val="20"/>
                <w:szCs w:val="20"/>
              </w:rPr>
              <w:t xml:space="preserve">Duration</w:t>
            </w:r>
          </w:p>
        </w:tc>
        <w:tc>
          <w:tcPr>
            <w:tcW w:type="dxa" w:w="1440"/>
            <w:tcBorders>
              <w:top w:val="single" w:color="CCCCCC" w:sz="1"/>
              <w:left w:val="single" w:color="CCCCCC" w:sz="1"/>
              <w:bottom w:val="single" w:color="CCCCCC" w:sz="1"/>
              <w:right w:val="single" w:color="CCCCCC" w:sz="1"/>
            </w:tcBorders>
            <w:shd w:fill="16213E" w:val="clear"/>
            <w:vAlign w:val="center"/>
          </w:tcPr>
          <w:p>
            <w:pPr>
              <w:spacing w:after="80" w:before="80"/>
              <w:jc w:val="center"/>
            </w:pPr>
            <w:r>
              <w:rPr>
                <w:rFonts w:ascii="Arial" w:cs="Arial" w:eastAsia="Arial" w:hAnsi="Arial"/>
                <w:b/>
                <w:bCs/>
                <w:color w:val="FFFFFF"/>
                <w:sz w:val="20"/>
                <w:szCs w:val="20"/>
              </w:rPr>
              <w:t xml:space="preserve">Status</w:t>
            </w:r>
          </w:p>
        </w:tc>
      </w:tr>
      <w:tr>
        <w:tc>
          <w:tcPr>
            <w:tcW w:type="dxa" w:w="540"/>
            <w:tcBorders>
              <w:top w:val="single" w:color="CCCCCC" w:sz="1"/>
              <w:left w:val="single" w:color="CCCCCC" w:sz="1"/>
              <w:bottom w:val="single" w:color="CCCCCC" w:sz="1"/>
              <w:right w:val="single" w:color="CCCCCC" w:sz="1"/>
            </w:tcBorders>
            <w:shd w:fill="FFF0F3" w:val="clear"/>
          </w:tcPr>
          <w:p>
            <w:pPr>
              <w:spacing w:after="80" w:before="80"/>
              <w:jc w:val="center"/>
            </w:pPr>
            <w:r>
              <w:rPr>
                <w:rFonts w:ascii="Arial" w:cs="Arial" w:eastAsia="Arial" w:hAnsi="Arial"/>
                <w:b/>
                <w:bCs/>
                <w:color w:val="E94560"/>
                <w:sz w:val="20"/>
                <w:szCs w:val="20"/>
              </w:rPr>
              <w:t xml:space="preserve">1</w:t>
            </w:r>
          </w:p>
        </w:tc>
        <w:tc>
          <w:tcPr>
            <w:tcW w:type="dxa" w:w="2340"/>
            <w:tcBorders>
              <w:top w:val="single" w:color="CCCCCC" w:sz="1"/>
              <w:left w:val="single" w:color="CCCCCC" w:sz="1"/>
              <w:bottom w:val="single" w:color="CCCCCC" w:sz="1"/>
              <w:right w:val="single" w:color="CCCCCC" w:sz="1"/>
            </w:tcBorders>
            <w:shd w:fill="FFF0F3" w:val="clear"/>
          </w:tcPr>
          <w:p>
            <w:pPr>
              <w:spacing w:after="80" w:before="80"/>
              <w:jc w:val="left"/>
            </w:pPr>
            <w:r>
              <w:rPr>
                <w:rFonts w:ascii="Arial" w:cs="Arial" w:eastAsia="Arial" w:hAnsi="Arial"/>
                <w:b/>
                <w:bCs/>
                <w:color w:val="2D2D2D"/>
                <w:sz w:val="20"/>
                <w:szCs w:val="20"/>
              </w:rPr>
              <w:t xml:space="preserve">Data Foundation</w:t>
            </w:r>
          </w:p>
        </w:tc>
        <w:tc>
          <w:tcPr>
            <w:tcW w:type="dxa" w:w="3600"/>
            <w:tcBorders>
              <w:top w:val="single" w:color="CCCCCC" w:sz="1"/>
              <w:left w:val="single" w:color="CCCCCC" w:sz="1"/>
              <w:bottom w:val="single" w:color="CCCCCC" w:sz="1"/>
              <w:right w:val="single" w:color="CCCCCC" w:sz="1"/>
            </w:tcBorders>
            <w:shd w:fill="FFF0F3" w:val="clear"/>
          </w:tcPr>
          <w:p>
            <w:pPr>
              <w:spacing w:after="80" w:before="80"/>
              <w:jc w:val="left"/>
            </w:pPr>
            <w:r>
              <w:rPr>
                <w:rFonts w:ascii="Arial" w:cs="Arial" w:eastAsia="Arial" w:hAnsi="Arial"/>
                <w:b w:val="false"/>
                <w:bCs w:val="false"/>
                <w:color w:val="2D2D2D"/>
                <w:sz w:val="20"/>
                <w:szCs w:val="20"/>
              </w:rPr>
              <w:t xml:space="preserve">Unified behavioral dataset with demographic and interest overlays; Phase 1 Analysis Report</w:t>
            </w:r>
          </w:p>
        </w:tc>
        <w:tc>
          <w:tcPr>
            <w:tcW w:type="dxa" w:w="1440"/>
            <w:tcBorders>
              <w:top w:val="single" w:color="CCCCCC" w:sz="1"/>
              <w:left w:val="single" w:color="CCCCCC" w:sz="1"/>
              <w:bottom w:val="single" w:color="CCCCCC" w:sz="1"/>
              <w:right w:val="single" w:color="CCCCCC" w:sz="1"/>
            </w:tcBorders>
            <w:shd w:fill="FFF0F3" w:val="clear"/>
          </w:tcPr>
          <w:p>
            <w:pPr>
              <w:spacing w:after="80" w:before="80"/>
              <w:jc w:val="center"/>
            </w:pPr>
            <w:r>
              <w:rPr>
                <w:rFonts w:ascii="Arial" w:cs="Arial" w:eastAsia="Arial" w:hAnsi="Arial"/>
                <w:b w:val="false"/>
                <w:bCs w:val="false"/>
                <w:color w:val="2D2D2D"/>
                <w:sz w:val="20"/>
                <w:szCs w:val="20"/>
              </w:rPr>
              <w:t xml:space="preserve">2–3 weeks</w:t>
            </w:r>
          </w:p>
        </w:tc>
        <w:tc>
          <w:tcPr>
            <w:tcW w:type="dxa" w:w="1440"/>
            <w:tcBorders>
              <w:top w:val="single" w:color="CCCCCC" w:sz="1"/>
              <w:left w:val="single" w:color="CCCCCC" w:sz="1"/>
              <w:bottom w:val="single" w:color="CCCCCC" w:sz="1"/>
              <w:right w:val="single" w:color="CCCCCC" w:sz="1"/>
            </w:tcBorders>
            <w:shd w:fill="FFF0F3" w:val="clear"/>
          </w:tcPr>
          <w:p>
            <w:pPr>
              <w:spacing w:after="80" w:before="80"/>
              <w:jc w:val="center"/>
            </w:pPr>
            <w:r>
              <w:rPr>
                <w:rFonts w:ascii="Arial" w:cs="Arial" w:eastAsia="Arial" w:hAnsi="Arial"/>
                <w:b/>
                <w:bCs/>
                <w:color w:val="1A6B3A"/>
                <w:sz w:val="20"/>
                <w:szCs w:val="20"/>
              </w:rPr>
              <w:t xml:space="preserve">Active</w:t>
            </w:r>
          </w:p>
        </w:tc>
      </w:tr>
      <w:tr>
        <w:tc>
          <w:tcPr>
            <w:tcW w:type="dxa" w:w="540"/>
            <w:tcBorders>
              <w:top w:val="single" w:color="CCCCCC" w:sz="1"/>
              <w:left w:val="single" w:color="CCCCCC" w:sz="1"/>
              <w:bottom w:val="single" w:color="CCCCCC" w:sz="1"/>
              <w:right w:val="single" w:color="CCCCCC" w:sz="1"/>
            </w:tcBorders>
            <w:shd w:fill="EFF2FF" w:val="clear"/>
          </w:tcPr>
          <w:p>
            <w:pPr>
              <w:spacing w:after="80" w:before="80"/>
              <w:jc w:val="center"/>
            </w:pPr>
            <w:r>
              <w:rPr>
                <w:rFonts w:ascii="Arial" w:cs="Arial" w:eastAsia="Arial" w:hAnsi="Arial"/>
                <w:b/>
                <w:bCs/>
                <w:color w:val="0F3460"/>
                <w:sz w:val="20"/>
                <w:szCs w:val="20"/>
              </w:rPr>
              <w:t xml:space="preserve">2</w:t>
            </w:r>
          </w:p>
        </w:tc>
        <w:tc>
          <w:tcPr>
            <w:tcW w:type="dxa" w:w="2340"/>
            <w:tcBorders>
              <w:top w:val="single" w:color="CCCCCC" w:sz="1"/>
              <w:left w:val="single" w:color="CCCCCC" w:sz="1"/>
              <w:bottom w:val="single" w:color="CCCCCC" w:sz="1"/>
              <w:right w:val="single" w:color="CCCCCC" w:sz="1"/>
            </w:tcBorders>
            <w:shd w:fill="EFF2FF" w:val="clear"/>
          </w:tcPr>
          <w:p>
            <w:pPr>
              <w:spacing w:after="80" w:before="80"/>
              <w:jc w:val="left"/>
            </w:pPr>
            <w:r>
              <w:rPr>
                <w:rFonts w:ascii="Arial" w:cs="Arial" w:eastAsia="Arial" w:hAnsi="Arial"/>
                <w:b/>
                <w:bCs/>
                <w:color w:val="2D2D2D"/>
                <w:sz w:val="20"/>
                <w:szCs w:val="20"/>
              </w:rPr>
              <w:t xml:space="preserve">Persona Construction</w:t>
            </w:r>
          </w:p>
        </w:tc>
        <w:tc>
          <w:tcPr>
            <w:tcW w:type="dxa" w:w="3600"/>
            <w:tcBorders>
              <w:top w:val="single" w:color="CCCCCC" w:sz="1"/>
              <w:left w:val="single" w:color="CCCCCC" w:sz="1"/>
              <w:bottom w:val="single" w:color="CCCCCC" w:sz="1"/>
              <w:right w:val="single" w:color="CCCCCC" w:sz="1"/>
            </w:tcBorders>
            <w:shd w:fill="EFF2FF" w:val="clear"/>
          </w:tcPr>
          <w:p>
            <w:pPr>
              <w:spacing w:after="80" w:before="80"/>
              <w:jc w:val="left"/>
            </w:pPr>
            <w:r>
              <w:rPr>
                <w:rFonts w:ascii="Arial" w:cs="Arial" w:eastAsia="Arial" w:hAnsi="Arial"/>
                <w:b w:val="false"/>
                <w:bCs w:val="false"/>
                <w:color w:val="2D2D2D"/>
                <w:sz w:val="20"/>
                <w:szCs w:val="20"/>
              </w:rPr>
              <w:t xml:space="preserve">5–6 documented synthesized persona cards covering ~75% of active Fatafat audience</w:t>
            </w:r>
          </w:p>
        </w:tc>
        <w:tc>
          <w:tcPr>
            <w:tcW w:type="dxa" w:w="1440"/>
            <w:tcBorders>
              <w:top w:val="single" w:color="CCCCCC" w:sz="1"/>
              <w:left w:val="single" w:color="CCCCCC" w:sz="1"/>
              <w:bottom w:val="single" w:color="CCCCCC" w:sz="1"/>
              <w:right w:val="single" w:color="CCCCCC" w:sz="1"/>
            </w:tcBorders>
            <w:shd w:fill="EFF2FF" w:val="clear"/>
          </w:tcPr>
          <w:p>
            <w:pPr>
              <w:spacing w:after="80" w:before="80"/>
              <w:jc w:val="center"/>
            </w:pPr>
            <w:r>
              <w:rPr>
                <w:rFonts w:ascii="Arial" w:cs="Arial" w:eastAsia="Arial" w:hAnsi="Arial"/>
                <w:b w:val="false"/>
                <w:bCs w:val="false"/>
                <w:color w:val="2D2D2D"/>
                <w:sz w:val="20"/>
                <w:szCs w:val="20"/>
              </w:rPr>
              <w:t xml:space="preserve">2–3 weeks</w:t>
            </w:r>
          </w:p>
        </w:tc>
        <w:tc>
          <w:tcPr>
            <w:tcW w:type="dxa" w:w="1440"/>
            <w:tcBorders>
              <w:top w:val="single" w:color="CCCCCC" w:sz="1"/>
              <w:left w:val="single" w:color="CCCCCC" w:sz="1"/>
              <w:bottom w:val="single" w:color="CCCCCC" w:sz="1"/>
              <w:right w:val="single" w:color="CCCCCC" w:sz="1"/>
            </w:tcBorders>
            <w:shd w:fill="EFF2FF" w:val="clear"/>
          </w:tcPr>
          <w:p>
            <w:pPr>
              <w:spacing w:after="80" w:before="80"/>
              <w:jc w:val="center"/>
            </w:pPr>
            <w:r>
              <w:rPr>
                <w:rFonts w:ascii="Arial" w:cs="Arial" w:eastAsia="Arial" w:hAnsi="Arial"/>
                <w:b w:val="false"/>
                <w:bCs w:val="false"/>
                <w:color w:val="888888"/>
                <w:sz w:val="20"/>
                <w:szCs w:val="20"/>
              </w:rPr>
              <w:t xml:space="preserve">Planned</w:t>
            </w:r>
          </w:p>
        </w:tc>
      </w:tr>
      <w:tr>
        <w:tc>
          <w:tcPr>
            <w:tcW w:type="dxa" w:w="540"/>
            <w:tcBorders>
              <w:top w:val="single" w:color="CCCCCC" w:sz="1"/>
              <w:left w:val="single" w:color="CCCCCC" w:sz="1"/>
              <w:bottom w:val="single" w:color="CCCCCC" w:sz="1"/>
              <w:right w:val="single" w:color="CCCCCC" w:sz="1"/>
            </w:tcBorders>
            <w:shd w:fill="F5F0FF" w:val="clear"/>
          </w:tcPr>
          <w:p>
            <w:pPr>
              <w:spacing w:after="80" w:before="80"/>
              <w:jc w:val="center"/>
            </w:pPr>
            <w:r>
              <w:rPr>
                <w:rFonts w:ascii="Arial" w:cs="Arial" w:eastAsia="Arial" w:hAnsi="Arial"/>
                <w:b/>
                <w:bCs/>
                <w:color w:val="533483"/>
                <w:sz w:val="20"/>
                <w:szCs w:val="20"/>
              </w:rPr>
              <w:t xml:space="preserve">3</w:t>
            </w:r>
          </w:p>
        </w:tc>
        <w:tc>
          <w:tcPr>
            <w:tcW w:type="dxa" w:w="2340"/>
            <w:tcBorders>
              <w:top w:val="single" w:color="CCCCCC" w:sz="1"/>
              <w:left w:val="single" w:color="CCCCCC" w:sz="1"/>
              <w:bottom w:val="single" w:color="CCCCCC" w:sz="1"/>
              <w:right w:val="single" w:color="CCCCCC" w:sz="1"/>
            </w:tcBorders>
            <w:shd w:fill="F5F0FF" w:val="clear"/>
          </w:tcPr>
          <w:p>
            <w:pPr>
              <w:spacing w:after="80" w:before="80"/>
              <w:jc w:val="left"/>
            </w:pPr>
            <w:r>
              <w:rPr>
                <w:rFonts w:ascii="Arial" w:cs="Arial" w:eastAsia="Arial" w:hAnsi="Arial"/>
                <w:b/>
                <w:bCs/>
                <w:color w:val="2D2D2D"/>
                <w:sz w:val="20"/>
                <w:szCs w:val="20"/>
              </w:rPr>
              <w:t xml:space="preserve">AI Training</w:t>
            </w:r>
          </w:p>
        </w:tc>
        <w:tc>
          <w:tcPr>
            <w:tcW w:type="dxa" w:w="3600"/>
            <w:tcBorders>
              <w:top w:val="single" w:color="CCCCCC" w:sz="1"/>
              <w:left w:val="single" w:color="CCCCCC" w:sz="1"/>
              <w:bottom w:val="single" w:color="CCCCCC" w:sz="1"/>
              <w:right w:val="single" w:color="CCCCCC" w:sz="1"/>
            </w:tcBorders>
            <w:shd w:fill="F5F0FF" w:val="clear"/>
          </w:tcPr>
          <w:p>
            <w:pPr>
              <w:spacing w:after="80" w:before="80"/>
              <w:jc w:val="left"/>
            </w:pPr>
            <w:r>
              <w:rPr>
                <w:rFonts w:ascii="Arial" w:cs="Arial" w:eastAsia="Arial" w:hAnsi="Arial"/>
                <w:b w:val="false"/>
                <w:bCs w:val="false"/>
                <w:color w:val="2D2D2D"/>
                <w:sz w:val="20"/>
                <w:szCs w:val="20"/>
              </w:rPr>
              <w:t xml:space="preserve">Trained pseudo-viewer models per persona with validation accuracy metrics</w:t>
            </w:r>
          </w:p>
        </w:tc>
        <w:tc>
          <w:tcPr>
            <w:tcW w:type="dxa" w:w="1440"/>
            <w:tcBorders>
              <w:top w:val="single" w:color="CCCCCC" w:sz="1"/>
              <w:left w:val="single" w:color="CCCCCC" w:sz="1"/>
              <w:bottom w:val="single" w:color="CCCCCC" w:sz="1"/>
              <w:right w:val="single" w:color="CCCCCC" w:sz="1"/>
            </w:tcBorders>
            <w:shd w:fill="F5F0FF" w:val="clear"/>
          </w:tcPr>
          <w:p>
            <w:pPr>
              <w:spacing w:after="80" w:before="80"/>
              <w:jc w:val="center"/>
            </w:pPr>
            <w:r>
              <w:rPr>
                <w:rFonts w:ascii="Arial" w:cs="Arial" w:eastAsia="Arial" w:hAnsi="Arial"/>
                <w:b w:val="false"/>
                <w:bCs w:val="false"/>
                <w:color w:val="2D2D2D"/>
                <w:sz w:val="20"/>
                <w:szCs w:val="20"/>
              </w:rPr>
              <w:t xml:space="preserve">4–6 weeks</w:t>
            </w:r>
          </w:p>
        </w:tc>
        <w:tc>
          <w:tcPr>
            <w:tcW w:type="dxa" w:w="1440"/>
            <w:tcBorders>
              <w:top w:val="single" w:color="CCCCCC" w:sz="1"/>
              <w:left w:val="single" w:color="CCCCCC" w:sz="1"/>
              <w:bottom w:val="single" w:color="CCCCCC" w:sz="1"/>
              <w:right w:val="single" w:color="CCCCCC" w:sz="1"/>
            </w:tcBorders>
            <w:shd w:fill="F5F0FF" w:val="clear"/>
          </w:tcPr>
          <w:p>
            <w:pPr>
              <w:spacing w:after="80" w:before="80"/>
              <w:jc w:val="center"/>
            </w:pPr>
            <w:r>
              <w:rPr>
                <w:rFonts w:ascii="Arial" w:cs="Arial" w:eastAsia="Arial" w:hAnsi="Arial"/>
                <w:b w:val="false"/>
                <w:bCs w:val="false"/>
                <w:color w:val="888888"/>
                <w:sz w:val="20"/>
                <w:szCs w:val="20"/>
              </w:rPr>
              <w:t xml:space="preserve">Planned</w:t>
            </w:r>
          </w:p>
        </w:tc>
      </w:tr>
      <w:tr>
        <w:tc>
          <w:tcPr>
            <w:tcW w:type="dxa" w:w="540"/>
            <w:tcBorders>
              <w:top w:val="single" w:color="CCCCCC" w:sz="1"/>
              <w:left w:val="single" w:color="CCCCCC" w:sz="1"/>
              <w:bottom w:val="single" w:color="CCCCCC" w:sz="1"/>
              <w:right w:val="single" w:color="CCCCCC" w:sz="1"/>
            </w:tcBorders>
            <w:shd w:fill="F0FFF4" w:val="clear"/>
          </w:tcPr>
          <w:p>
            <w:pPr>
              <w:spacing w:after="80" w:before="80"/>
              <w:jc w:val="center"/>
            </w:pPr>
            <w:r>
              <w:rPr>
                <w:rFonts w:ascii="Arial" w:cs="Arial" w:eastAsia="Arial" w:hAnsi="Arial"/>
                <w:b/>
                <w:bCs/>
                <w:color w:val="1A6B3A"/>
                <w:sz w:val="20"/>
                <w:szCs w:val="20"/>
              </w:rPr>
              <w:t xml:space="preserve">4</w:t>
            </w:r>
          </w:p>
        </w:tc>
        <w:tc>
          <w:tcPr>
            <w:tcW w:type="dxa" w:w="2340"/>
            <w:tcBorders>
              <w:top w:val="single" w:color="CCCCCC" w:sz="1"/>
              <w:left w:val="single" w:color="CCCCCC" w:sz="1"/>
              <w:bottom w:val="single" w:color="CCCCCC" w:sz="1"/>
              <w:right w:val="single" w:color="CCCCCC" w:sz="1"/>
            </w:tcBorders>
            <w:shd w:fill="F0FFF4" w:val="clear"/>
          </w:tcPr>
          <w:p>
            <w:pPr>
              <w:spacing w:after="80" w:before="80"/>
              <w:jc w:val="left"/>
            </w:pPr>
            <w:r>
              <w:rPr>
                <w:rFonts w:ascii="Arial" w:cs="Arial" w:eastAsia="Arial" w:hAnsi="Arial"/>
                <w:b/>
                <w:bCs/>
                <w:color w:val="2D2D2D"/>
                <w:sz w:val="20"/>
                <w:szCs w:val="20"/>
              </w:rPr>
              <w:t xml:space="preserve">Integration Pilot</w:t>
            </w:r>
          </w:p>
        </w:tc>
        <w:tc>
          <w:tcPr>
            <w:tcW w:type="dxa" w:w="3600"/>
            <w:tcBorders>
              <w:top w:val="single" w:color="CCCCCC" w:sz="1"/>
              <w:left w:val="single" w:color="CCCCCC" w:sz="1"/>
              <w:bottom w:val="single" w:color="CCCCCC" w:sz="1"/>
              <w:right w:val="single" w:color="CCCCCC" w:sz="1"/>
            </w:tcBorders>
            <w:shd w:fill="F0FFF4" w:val="clear"/>
          </w:tcPr>
          <w:p>
            <w:pPr>
              <w:spacing w:after="80" w:before="80"/>
              <w:jc w:val="left"/>
            </w:pPr>
            <w:r>
              <w:rPr>
                <w:rFonts w:ascii="Arial" w:cs="Arial" w:eastAsia="Arial" w:hAnsi="Arial"/>
                <w:b w:val="false"/>
                <w:bCs w:val="false"/>
                <w:color w:val="2D2D2D"/>
                <w:sz w:val="20"/>
                <w:szCs w:val="20"/>
              </w:rPr>
              <w:t xml:space="preserve">Pilot results report with prediction vs. actual accuracy assessment for one Fatafat commission</w:t>
            </w:r>
          </w:p>
        </w:tc>
        <w:tc>
          <w:tcPr>
            <w:tcW w:type="dxa" w:w="1440"/>
            <w:tcBorders>
              <w:top w:val="single" w:color="CCCCCC" w:sz="1"/>
              <w:left w:val="single" w:color="CCCCCC" w:sz="1"/>
              <w:bottom w:val="single" w:color="CCCCCC" w:sz="1"/>
              <w:right w:val="single" w:color="CCCCCC" w:sz="1"/>
            </w:tcBorders>
            <w:shd w:fill="F0FFF4" w:val="clear"/>
          </w:tcPr>
          <w:p>
            <w:pPr>
              <w:spacing w:after="80" w:before="80"/>
              <w:jc w:val="center"/>
            </w:pPr>
            <w:r>
              <w:rPr>
                <w:rFonts w:ascii="Arial" w:cs="Arial" w:eastAsia="Arial" w:hAnsi="Arial"/>
                <w:b w:val="false"/>
                <w:bCs w:val="false"/>
                <w:color w:val="2D2D2D"/>
                <w:sz w:val="20"/>
                <w:szCs w:val="20"/>
              </w:rPr>
              <w:t xml:space="preserve">3–4 weeks</w:t>
            </w:r>
          </w:p>
        </w:tc>
        <w:tc>
          <w:tcPr>
            <w:tcW w:type="dxa" w:w="1440"/>
            <w:tcBorders>
              <w:top w:val="single" w:color="CCCCCC" w:sz="1"/>
              <w:left w:val="single" w:color="CCCCCC" w:sz="1"/>
              <w:bottom w:val="single" w:color="CCCCCC" w:sz="1"/>
              <w:right w:val="single" w:color="CCCCCC" w:sz="1"/>
            </w:tcBorders>
            <w:shd w:fill="F0FFF4" w:val="clear"/>
          </w:tcPr>
          <w:p>
            <w:pPr>
              <w:spacing w:after="80" w:before="80"/>
              <w:jc w:val="center"/>
            </w:pPr>
            <w:r>
              <w:rPr>
                <w:rFonts w:ascii="Arial" w:cs="Arial" w:eastAsia="Arial" w:hAnsi="Arial"/>
                <w:b w:val="false"/>
                <w:bCs w:val="false"/>
                <w:color w:val="888888"/>
                <w:sz w:val="20"/>
                <w:szCs w:val="20"/>
              </w:rPr>
              <w:t xml:space="preserve">Planned</w:t>
            </w:r>
          </w:p>
        </w:tc>
      </w:tr>
      <w:tr>
        <w:tc>
          <w:tcPr>
            <w:tcW w:type="dxa" w:w="540"/>
            <w:tcBorders>
              <w:top w:val="single" w:color="CCCCCC" w:sz="1"/>
              <w:left w:val="single" w:color="CCCCCC" w:sz="1"/>
              <w:bottom w:val="single" w:color="CCCCCC" w:sz="1"/>
              <w:right w:val="single" w:color="CCCCCC" w:sz="1"/>
            </w:tcBorders>
            <w:shd w:fill="FFF8F0" w:val="clear"/>
          </w:tcPr>
          <w:p>
            <w:pPr>
              <w:spacing w:after="80" w:before="80"/>
              <w:jc w:val="center"/>
            </w:pPr>
            <w:r>
              <w:rPr>
                <w:rFonts w:ascii="Arial" w:cs="Arial" w:eastAsia="Arial" w:hAnsi="Arial"/>
                <w:b/>
                <w:bCs/>
                <w:color w:val="B5451B"/>
                <w:sz w:val="20"/>
                <w:szCs w:val="20"/>
              </w:rPr>
              <w:t xml:space="preserve">5</w:t>
            </w:r>
          </w:p>
        </w:tc>
        <w:tc>
          <w:tcPr>
            <w:tcW w:type="dxa" w:w="2340"/>
            <w:tcBorders>
              <w:top w:val="single" w:color="CCCCCC" w:sz="1"/>
              <w:left w:val="single" w:color="CCCCCC" w:sz="1"/>
              <w:bottom w:val="single" w:color="CCCCCC" w:sz="1"/>
              <w:right w:val="single" w:color="CCCCCC" w:sz="1"/>
            </w:tcBorders>
            <w:shd w:fill="FFF8F0" w:val="clear"/>
          </w:tcPr>
          <w:p>
            <w:pPr>
              <w:spacing w:after="80" w:before="80"/>
              <w:jc w:val="left"/>
            </w:pPr>
            <w:r>
              <w:rPr>
                <w:rFonts w:ascii="Arial" w:cs="Arial" w:eastAsia="Arial" w:hAnsi="Arial"/>
                <w:b/>
                <w:bCs/>
                <w:color w:val="2D2D2D"/>
                <w:sz w:val="20"/>
                <w:szCs w:val="20"/>
              </w:rPr>
              <w:t xml:space="preserve">Live Deployment</w:t>
            </w:r>
          </w:p>
        </w:tc>
        <w:tc>
          <w:tcPr>
            <w:tcW w:type="dxa" w:w="3600"/>
            <w:tcBorders>
              <w:top w:val="single" w:color="CCCCCC" w:sz="1"/>
              <w:left w:val="single" w:color="CCCCCC" w:sz="1"/>
              <w:bottom w:val="single" w:color="CCCCCC" w:sz="1"/>
              <w:right w:val="single" w:color="CCCCCC" w:sz="1"/>
            </w:tcBorders>
            <w:shd w:fill="FFF8F0" w:val="clear"/>
          </w:tcPr>
          <w:p>
            <w:pPr>
              <w:spacing w:after="80" w:before="80"/>
              <w:jc w:val="left"/>
            </w:pPr>
            <w:r>
              <w:rPr>
                <w:rFonts w:ascii="Arial" w:cs="Arial" w:eastAsia="Arial" w:hAnsi="Arial"/>
                <w:b w:val="false"/>
                <w:bCs w:val="false"/>
                <w:color w:val="2D2D2D"/>
                <w:sz w:val="20"/>
                <w:szCs w:val="20"/>
              </w:rPr>
              <w:t xml:space="preserve">Production system deployed across commissioning, slate planning, and advertising workflows</w:t>
            </w:r>
          </w:p>
        </w:tc>
        <w:tc>
          <w:tcPr>
            <w:tcW w:type="dxa" w:w="1440"/>
            <w:tcBorders>
              <w:top w:val="single" w:color="CCCCCC" w:sz="1"/>
              <w:left w:val="single" w:color="CCCCCC" w:sz="1"/>
              <w:bottom w:val="single" w:color="CCCCCC" w:sz="1"/>
              <w:right w:val="single" w:color="CCCCCC" w:sz="1"/>
            </w:tcBorders>
            <w:shd w:fill="FFF8F0" w:val="clear"/>
          </w:tcPr>
          <w:p>
            <w:pPr>
              <w:spacing w:after="80" w:before="80"/>
              <w:jc w:val="center"/>
            </w:pPr>
            <w:r>
              <w:rPr>
                <w:rFonts w:ascii="Arial" w:cs="Arial" w:eastAsia="Arial" w:hAnsi="Arial"/>
                <w:b w:val="false"/>
                <w:bCs w:val="false"/>
                <w:color w:val="2D2D2D"/>
                <w:sz w:val="20"/>
                <w:szCs w:val="20"/>
              </w:rPr>
              <w:t xml:space="preserve">4–6 weeks</w:t>
            </w:r>
          </w:p>
        </w:tc>
        <w:tc>
          <w:tcPr>
            <w:tcW w:type="dxa" w:w="1440"/>
            <w:tcBorders>
              <w:top w:val="single" w:color="CCCCCC" w:sz="1"/>
              <w:left w:val="single" w:color="CCCCCC" w:sz="1"/>
              <w:bottom w:val="single" w:color="CCCCCC" w:sz="1"/>
              <w:right w:val="single" w:color="CCCCCC" w:sz="1"/>
            </w:tcBorders>
            <w:shd w:fill="FFF8F0" w:val="clear"/>
          </w:tcPr>
          <w:p>
            <w:pPr>
              <w:spacing w:after="80" w:before="80"/>
              <w:jc w:val="center"/>
            </w:pPr>
            <w:r>
              <w:rPr>
                <w:rFonts w:ascii="Arial" w:cs="Arial" w:eastAsia="Arial" w:hAnsi="Arial"/>
                <w:b w:val="false"/>
                <w:bCs w:val="false"/>
                <w:color w:val="888888"/>
                <w:sz w:val="20"/>
                <w:szCs w:val="20"/>
              </w:rPr>
              <w:t xml:space="preserve">Planned</w:t>
            </w:r>
          </w:p>
        </w:tc>
      </w:tr>
    </w:tbl>
    <w:p>
      <w:pPr>
        <w:spacing w:after="80"/>
      </w:pPr>
      <w:r>
        <w:t xml:space="preserve"/>
      </w:r>
    </w:p>
    <w:p>
      <w:pPr>
        <w:pStyle w:val="BodyText"/>
      </w:pPr>
      <w:r>
        <w:t xml:space="preserve">Total estimated timeline from Phase 1 kickoff to live deployment: 15–22 weeks (approximately 4–5 months), assuming sequential phase execution with standard review and validation gates between phases.</w:t>
      </w:r>
    </w:p>
    <w:p>
      <w:pPr>
        <w:spacing w:after="80"/>
      </w:pPr>
      <w:r>
        <w:t xml:space="preserve"/>
      </w:r>
    </w:p>
    <w:p>
      <w:pPr>
        <w:pStyle w:val="Heading1"/>
      </w:pPr>
      <w:r>
        <w:t xml:space="preserve">10. Success Metrics &amp; KPIs</w:t>
      </w:r>
    </w:p>
    <w:p>
      <w:pPr>
        <w:pStyle w:val="BodyText"/>
      </w:pPr>
      <w:r>
        <w:t xml:space="preserve">The following KPIs will be tracked across phases to measure both the technical performance of the system and its business impact on content and commercial outcomes at Fatafat.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720"/>
        <w:gridCol w:w="1620"/>
        <w:gridCol w:w="2700"/>
      </w:tblGrid>
      <w:tr>
        <w:trPr>
          <w:tblHeader/>
        </w:trPr>
        <w:tc>
          <w:tcPr>
            <w:tcW w:type="dxa" w:w="1800"/>
            <w:tcBorders>
              <w:top w:val="single" w:color="CCCCCC" w:sz="1"/>
              <w:left w:val="single" w:color="CCCCCC" w:sz="1"/>
              <w:bottom w:val="single" w:color="CCCCCC" w:sz="1"/>
              <w:right w:val="single" w:color="CCCCCC" w:sz="1"/>
            </w:tcBorders>
            <w:shd w:fill="16213E" w:val="clear"/>
            <w:vAlign w:val="center"/>
          </w:tcPr>
          <w:p>
            <w:pPr>
              <w:spacing w:after="80" w:before="80"/>
              <w:jc w:val="center"/>
            </w:pPr>
            <w:r>
              <w:rPr>
                <w:rFonts w:ascii="Arial" w:cs="Arial" w:eastAsia="Arial" w:hAnsi="Arial"/>
                <w:b/>
                <w:bCs/>
                <w:color w:val="FFFFFF"/>
                <w:sz w:val="20"/>
                <w:szCs w:val="20"/>
              </w:rPr>
              <w:t xml:space="preserve">KPI</w:t>
            </w:r>
          </w:p>
        </w:tc>
        <w:tc>
          <w:tcPr>
            <w:tcW w:type="dxa" w:w="2520"/>
            <w:tcBorders>
              <w:top w:val="single" w:color="CCCCCC" w:sz="1"/>
              <w:left w:val="single" w:color="CCCCCC" w:sz="1"/>
              <w:bottom w:val="single" w:color="CCCCCC" w:sz="1"/>
              <w:right w:val="single" w:color="CCCCCC" w:sz="1"/>
            </w:tcBorders>
            <w:shd w:fill="16213E" w:val="clear"/>
            <w:vAlign w:val="center"/>
          </w:tcPr>
          <w:p>
            <w:pPr>
              <w:spacing w:after="80" w:before="80"/>
              <w:jc w:val="center"/>
            </w:pPr>
            <w:r>
              <w:rPr>
                <w:rFonts w:ascii="Arial" w:cs="Arial" w:eastAsia="Arial" w:hAnsi="Arial"/>
                <w:b/>
                <w:bCs/>
                <w:color w:val="FFFFFF"/>
                <w:sz w:val="20"/>
                <w:szCs w:val="20"/>
              </w:rPr>
              <w:t xml:space="preserve">Definition</w:t>
            </w:r>
          </w:p>
        </w:tc>
        <w:tc>
          <w:tcPr>
            <w:tcW w:type="dxa" w:w="720"/>
            <w:tcBorders>
              <w:top w:val="single" w:color="CCCCCC" w:sz="1"/>
              <w:left w:val="single" w:color="CCCCCC" w:sz="1"/>
              <w:bottom w:val="single" w:color="CCCCCC" w:sz="1"/>
              <w:right w:val="single" w:color="CCCCCC" w:sz="1"/>
            </w:tcBorders>
            <w:shd w:fill="16213E" w:val="clear"/>
            <w:vAlign w:val="center"/>
          </w:tcPr>
          <w:p>
            <w:pPr>
              <w:spacing w:after="80" w:before="80"/>
              <w:jc w:val="center"/>
            </w:pPr>
            <w:r>
              <w:rPr>
                <w:rFonts w:ascii="Arial" w:cs="Arial" w:eastAsia="Arial" w:hAnsi="Arial"/>
                <w:b/>
                <w:bCs/>
                <w:color w:val="FFFFFF"/>
                <w:sz w:val="20"/>
                <w:szCs w:val="20"/>
              </w:rPr>
              <w:t xml:space="preserve">Phase</w:t>
            </w:r>
          </w:p>
        </w:tc>
        <w:tc>
          <w:tcPr>
            <w:tcW w:type="dxa" w:w="1620"/>
            <w:tcBorders>
              <w:top w:val="single" w:color="CCCCCC" w:sz="1"/>
              <w:left w:val="single" w:color="CCCCCC" w:sz="1"/>
              <w:bottom w:val="single" w:color="CCCCCC" w:sz="1"/>
              <w:right w:val="single" w:color="CCCCCC" w:sz="1"/>
            </w:tcBorders>
            <w:shd w:fill="16213E" w:val="clear"/>
            <w:vAlign w:val="center"/>
          </w:tcPr>
          <w:p>
            <w:pPr>
              <w:spacing w:after="80" w:before="80"/>
              <w:jc w:val="center"/>
            </w:pPr>
            <w:r>
              <w:rPr>
                <w:rFonts w:ascii="Arial" w:cs="Arial" w:eastAsia="Arial" w:hAnsi="Arial"/>
                <w:b/>
                <w:bCs/>
                <w:color w:val="FFFFFF"/>
                <w:sz w:val="20"/>
                <w:szCs w:val="20"/>
              </w:rPr>
              <w:t xml:space="preserve">Target</w:t>
            </w:r>
          </w:p>
        </w:tc>
        <w:tc>
          <w:tcPr>
            <w:tcW w:type="dxa" w:w="2700"/>
            <w:tcBorders>
              <w:top w:val="single" w:color="CCCCCC" w:sz="1"/>
              <w:left w:val="single" w:color="CCCCCC" w:sz="1"/>
              <w:bottom w:val="single" w:color="CCCCCC" w:sz="1"/>
              <w:right w:val="single" w:color="CCCCCC" w:sz="1"/>
            </w:tcBorders>
            <w:shd w:fill="16213E" w:val="clear"/>
            <w:vAlign w:val="center"/>
          </w:tcPr>
          <w:p>
            <w:pPr>
              <w:spacing w:after="80" w:before="80"/>
              <w:jc w:val="center"/>
            </w:pPr>
            <w:r>
              <w:rPr>
                <w:rFonts w:ascii="Arial" w:cs="Arial" w:eastAsia="Arial" w:hAnsi="Arial"/>
                <w:b/>
                <w:bCs/>
                <w:color w:val="FFFFFF"/>
                <w:sz w:val="20"/>
                <w:szCs w:val="20"/>
              </w:rPr>
              <w:t xml:space="preserve">Measurement Method</w:t>
            </w:r>
          </w:p>
        </w:tc>
      </w:tr>
      <w:tr>
        <w:tc>
          <w:tcPr>
            <w:tcW w:type="dxa" w:w="180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bCs/>
                <w:color w:val="2D2D2D"/>
                <w:sz w:val="20"/>
                <w:szCs w:val="20"/>
              </w:rPr>
              <w:t xml:space="preserve">Persona Coverage</w:t>
            </w:r>
          </w:p>
        </w:tc>
        <w:tc>
          <w:tcPr>
            <w:tcW w:type="dxa" w:w="252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val="false"/>
                <w:bCs w:val="false"/>
                <w:color w:val="2D2D2D"/>
                <w:sz w:val="20"/>
                <w:szCs w:val="20"/>
              </w:rPr>
              <w:t xml:space="preserve">% of active Fatafat audience mapped to a synthesized persona</w:t>
            </w:r>
          </w:p>
        </w:tc>
        <w:tc>
          <w:tcPr>
            <w:tcW w:type="dxa" w:w="720"/>
            <w:tcBorders>
              <w:top w:val="single" w:color="CCCCCC" w:sz="1"/>
              <w:left w:val="single" w:color="CCCCCC" w:sz="1"/>
              <w:bottom w:val="single" w:color="CCCCCC" w:sz="1"/>
              <w:right w:val="single" w:color="CCCCCC" w:sz="1"/>
            </w:tcBorders>
            <w:shd w:fill="F2F4F8" w:val="clear"/>
          </w:tcPr>
          <w:p>
            <w:pPr>
              <w:spacing w:after="80" w:before="80"/>
              <w:jc w:val="center"/>
            </w:pPr>
            <w:r>
              <w:rPr>
                <w:rFonts w:ascii="Arial" w:cs="Arial" w:eastAsia="Arial" w:hAnsi="Arial"/>
                <w:b w:val="false"/>
                <w:bCs w:val="false"/>
                <w:color w:val="2D2D2D"/>
                <w:sz w:val="20"/>
                <w:szCs w:val="20"/>
              </w:rPr>
              <w:t xml:space="preserve">2</w:t>
            </w:r>
          </w:p>
        </w:tc>
        <w:tc>
          <w:tcPr>
            <w:tcW w:type="dxa" w:w="162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val="false"/>
                <w:bCs w:val="false"/>
                <w:color w:val="2D2D2D"/>
                <w:sz w:val="20"/>
                <w:szCs w:val="20"/>
              </w:rPr>
              <w:t xml:space="preserve">≥75% of 3s streamers</w:t>
            </w:r>
          </w:p>
        </w:tc>
        <w:tc>
          <w:tcPr>
            <w:tcW w:type="dxa" w:w="270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val="false"/>
                <w:bCs w:val="false"/>
                <w:color w:val="2D2D2D"/>
                <w:sz w:val="20"/>
                <w:szCs w:val="20"/>
              </w:rPr>
              <w:t xml:space="preserve">Cluster analysis on Phase 1 behavioral dataset</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color w:val="2D2D2D"/>
                <w:sz w:val="20"/>
                <w:szCs w:val="20"/>
              </w:rPr>
              <w:t xml:space="preserve">Demographic Overlay Rate</w:t>
            </w:r>
          </w:p>
        </w:tc>
        <w:tc>
          <w:tcPr>
            <w:tcW w:type="dxa" w:w="252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 of Fatafat streamers with a matched age/gender record</w:t>
            </w:r>
          </w:p>
        </w:tc>
        <w:tc>
          <w:tcPr>
            <w:tcW w:type="dxa" w:w="720"/>
            <w:tcBorders>
              <w:top w:val="single" w:color="CCCCCC" w:sz="1"/>
              <w:left w:val="single" w:color="CCCCCC" w:sz="1"/>
              <w:bottom w:val="single" w:color="CCCCCC" w:sz="1"/>
              <w:right w:val="single" w:color="CCCCCC" w:sz="1"/>
            </w:tcBorders>
            <w:shd w:fill="FFFFFF" w:val="clear"/>
          </w:tcPr>
          <w:p>
            <w:pPr>
              <w:spacing w:after="80" w:before="80"/>
              <w:jc w:val="center"/>
            </w:pPr>
            <w:r>
              <w:rPr>
                <w:rFonts w:ascii="Arial" w:cs="Arial" w:eastAsia="Arial" w:hAnsi="Arial"/>
                <w:b w:val="false"/>
                <w:bCs w:val="false"/>
                <w:color w:val="2D2D2D"/>
                <w:sz w:val="20"/>
                <w:szCs w:val="20"/>
              </w:rPr>
              <w:t xml:space="preserve">1</w:t>
            </w:r>
          </w:p>
        </w:tc>
        <w:tc>
          <w:tcPr>
            <w:tcW w:type="dxa" w:w="162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≥60% coverage</w:t>
            </w:r>
          </w:p>
        </w:tc>
        <w:tc>
          <w:tcPr>
            <w:tcW w:type="dxa" w:w="27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UUID join between engagement and demographics tables</w:t>
            </w:r>
          </w:p>
        </w:tc>
      </w:tr>
      <w:tr>
        <w:tc>
          <w:tcPr>
            <w:tcW w:type="dxa" w:w="180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bCs/>
                <w:color w:val="2D2D2D"/>
                <w:sz w:val="20"/>
                <w:szCs w:val="20"/>
              </w:rPr>
              <w:t xml:space="preserve">Interest Segment Coverage</w:t>
            </w:r>
          </w:p>
        </w:tc>
        <w:tc>
          <w:tcPr>
            <w:tcW w:type="dxa" w:w="252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val="false"/>
                <w:bCs w:val="false"/>
                <w:color w:val="2D2D2D"/>
                <w:sz w:val="20"/>
                <w:szCs w:val="20"/>
              </w:rPr>
              <w:t xml:space="preserve">% of Fatafat streamers with at least one persona tag</w:t>
            </w:r>
          </w:p>
        </w:tc>
        <w:tc>
          <w:tcPr>
            <w:tcW w:type="dxa" w:w="720"/>
            <w:tcBorders>
              <w:top w:val="single" w:color="CCCCCC" w:sz="1"/>
              <w:left w:val="single" w:color="CCCCCC" w:sz="1"/>
              <w:bottom w:val="single" w:color="CCCCCC" w:sz="1"/>
              <w:right w:val="single" w:color="CCCCCC" w:sz="1"/>
            </w:tcBorders>
            <w:shd w:fill="F2F4F8" w:val="clear"/>
          </w:tcPr>
          <w:p>
            <w:pPr>
              <w:spacing w:after="80" w:before="80"/>
              <w:jc w:val="center"/>
            </w:pPr>
            <w:r>
              <w:rPr>
                <w:rFonts w:ascii="Arial" w:cs="Arial" w:eastAsia="Arial" w:hAnsi="Arial"/>
                <w:b w:val="false"/>
                <w:bCs w:val="false"/>
                <w:color w:val="2D2D2D"/>
                <w:sz w:val="20"/>
                <w:szCs w:val="20"/>
              </w:rPr>
              <w:t xml:space="preserve">1</w:t>
            </w:r>
          </w:p>
        </w:tc>
        <w:tc>
          <w:tcPr>
            <w:tcW w:type="dxa" w:w="162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val="false"/>
                <w:bCs w:val="false"/>
                <w:color w:val="2D2D2D"/>
                <w:sz w:val="20"/>
                <w:szCs w:val="20"/>
              </w:rPr>
              <w:t xml:space="preserve">≥50% tag coverage</w:t>
            </w:r>
          </w:p>
        </w:tc>
        <w:tc>
          <w:tcPr>
            <w:tcW w:type="dxa" w:w="270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val="false"/>
                <w:bCs w:val="false"/>
                <w:color w:val="2D2D2D"/>
                <w:sz w:val="20"/>
                <w:szCs w:val="20"/>
              </w:rPr>
              <w:t xml:space="preserve">UUID join between engagement and persona tables</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color w:val="2D2D2D"/>
                <w:sz w:val="20"/>
                <w:szCs w:val="20"/>
              </w:rPr>
              <w:t xml:space="preserve">Retention Prediction Accuracy</w:t>
            </w:r>
          </w:p>
        </w:tc>
        <w:tc>
          <w:tcPr>
            <w:tcW w:type="dxa" w:w="252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Pearson r: predicted vs. actual retention curve per persona</w:t>
            </w:r>
          </w:p>
        </w:tc>
        <w:tc>
          <w:tcPr>
            <w:tcW w:type="dxa" w:w="720"/>
            <w:tcBorders>
              <w:top w:val="single" w:color="CCCCCC" w:sz="1"/>
              <w:left w:val="single" w:color="CCCCCC" w:sz="1"/>
              <w:bottom w:val="single" w:color="CCCCCC" w:sz="1"/>
              <w:right w:val="single" w:color="CCCCCC" w:sz="1"/>
            </w:tcBorders>
            <w:shd w:fill="FFFFFF" w:val="clear"/>
          </w:tcPr>
          <w:p>
            <w:pPr>
              <w:spacing w:after="80" w:before="80"/>
              <w:jc w:val="center"/>
            </w:pPr>
            <w:r>
              <w:rPr>
                <w:rFonts w:ascii="Arial" w:cs="Arial" w:eastAsia="Arial" w:hAnsi="Arial"/>
                <w:b w:val="false"/>
                <w:bCs w:val="false"/>
                <w:color w:val="2D2D2D"/>
                <w:sz w:val="20"/>
                <w:szCs w:val="20"/>
              </w:rPr>
              <w:t xml:space="preserve">3</w:t>
            </w:r>
          </w:p>
        </w:tc>
        <w:tc>
          <w:tcPr>
            <w:tcW w:type="dxa" w:w="162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r ≥ 0.70 on hold-out set</w:t>
            </w:r>
          </w:p>
        </w:tc>
        <w:tc>
          <w:tcPr>
            <w:tcW w:type="dxa" w:w="27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Hold-out validation against unseen show launches</w:t>
            </w:r>
          </w:p>
        </w:tc>
      </w:tr>
      <w:tr>
        <w:tc>
          <w:tcPr>
            <w:tcW w:type="dxa" w:w="180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bCs/>
                <w:color w:val="2D2D2D"/>
                <w:sz w:val="20"/>
                <w:szCs w:val="20"/>
              </w:rPr>
              <w:t xml:space="preserve">Audience-Fit Score Validity</w:t>
            </w:r>
          </w:p>
        </w:tc>
        <w:tc>
          <w:tcPr>
            <w:tcW w:type="dxa" w:w="252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val="false"/>
                <w:bCs w:val="false"/>
                <w:color w:val="2D2D2D"/>
                <w:sz w:val="20"/>
                <w:szCs w:val="20"/>
              </w:rPr>
              <w:t xml:space="preserve">Correlation between fit score and actual per-persona engagement split</w:t>
            </w:r>
          </w:p>
        </w:tc>
        <w:tc>
          <w:tcPr>
            <w:tcW w:type="dxa" w:w="720"/>
            <w:tcBorders>
              <w:top w:val="single" w:color="CCCCCC" w:sz="1"/>
              <w:left w:val="single" w:color="CCCCCC" w:sz="1"/>
              <w:bottom w:val="single" w:color="CCCCCC" w:sz="1"/>
              <w:right w:val="single" w:color="CCCCCC" w:sz="1"/>
            </w:tcBorders>
            <w:shd w:fill="F2F4F8" w:val="clear"/>
          </w:tcPr>
          <w:p>
            <w:pPr>
              <w:spacing w:after="80" w:before="80"/>
              <w:jc w:val="center"/>
            </w:pPr>
            <w:r>
              <w:rPr>
                <w:rFonts w:ascii="Arial" w:cs="Arial" w:eastAsia="Arial" w:hAnsi="Arial"/>
                <w:b w:val="false"/>
                <w:bCs w:val="false"/>
                <w:color w:val="2D2D2D"/>
                <w:sz w:val="20"/>
                <w:szCs w:val="20"/>
              </w:rPr>
              <w:t xml:space="preserve">4</w:t>
            </w:r>
          </w:p>
        </w:tc>
        <w:tc>
          <w:tcPr>
            <w:tcW w:type="dxa" w:w="162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val="false"/>
                <w:bCs w:val="false"/>
                <w:color w:val="2D2D2D"/>
                <w:sz w:val="20"/>
                <w:szCs w:val="20"/>
              </w:rPr>
              <w:t xml:space="preserve">r ≥ 0.65 on pilot show</w:t>
            </w:r>
          </w:p>
        </w:tc>
        <w:tc>
          <w:tcPr>
            <w:tcW w:type="dxa" w:w="270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val="false"/>
                <w:bCs w:val="false"/>
                <w:color w:val="2D2D2D"/>
                <w:sz w:val="20"/>
                <w:szCs w:val="20"/>
              </w:rPr>
              <w:t xml:space="preserve">Phase 4 pilot prediction vs. actuals comparison</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color w:val="2D2D2D"/>
                <w:sz w:val="20"/>
                <w:szCs w:val="20"/>
              </w:rPr>
              <w:t xml:space="preserve">Time-to-Insight</w:t>
            </w:r>
          </w:p>
        </w:tc>
        <w:tc>
          <w:tcPr>
            <w:tcW w:type="dxa" w:w="252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Days from content brief submission to simulation output</w:t>
            </w:r>
          </w:p>
        </w:tc>
        <w:tc>
          <w:tcPr>
            <w:tcW w:type="dxa" w:w="720"/>
            <w:tcBorders>
              <w:top w:val="single" w:color="CCCCCC" w:sz="1"/>
              <w:left w:val="single" w:color="CCCCCC" w:sz="1"/>
              <w:bottom w:val="single" w:color="CCCCCC" w:sz="1"/>
              <w:right w:val="single" w:color="CCCCCC" w:sz="1"/>
            </w:tcBorders>
            <w:shd w:fill="FFFFFF" w:val="clear"/>
          </w:tcPr>
          <w:p>
            <w:pPr>
              <w:spacing w:after="80" w:before="80"/>
              <w:jc w:val="center"/>
            </w:pPr>
            <w:r>
              <w:rPr>
                <w:rFonts w:ascii="Arial" w:cs="Arial" w:eastAsia="Arial" w:hAnsi="Arial"/>
                <w:b w:val="false"/>
                <w:bCs w:val="false"/>
                <w:color w:val="2D2D2D"/>
                <w:sz w:val="20"/>
                <w:szCs w:val="20"/>
              </w:rPr>
              <w:t xml:space="preserve">5</w:t>
            </w:r>
          </w:p>
        </w:tc>
        <w:tc>
          <w:tcPr>
            <w:tcW w:type="dxa" w:w="162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≤3 business days</w:t>
            </w:r>
          </w:p>
        </w:tc>
        <w:tc>
          <w:tcPr>
            <w:tcW w:type="dxa" w:w="27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Process timing tracked post-deployment</w:t>
            </w:r>
          </w:p>
        </w:tc>
      </w:tr>
      <w:tr>
        <w:tc>
          <w:tcPr>
            <w:tcW w:type="dxa" w:w="180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bCs/>
                <w:color w:val="2D2D2D"/>
                <w:sz w:val="20"/>
                <w:szCs w:val="20"/>
              </w:rPr>
              <w:t xml:space="preserve">Slate Gap Detection Rate</w:t>
            </w:r>
          </w:p>
        </w:tc>
        <w:tc>
          <w:tcPr>
            <w:tcW w:type="dxa" w:w="252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val="false"/>
                <w:bCs w:val="false"/>
                <w:color w:val="2D2D2D"/>
                <w:sz w:val="20"/>
                <w:szCs w:val="20"/>
              </w:rPr>
              <w:t xml:space="preserve">% of identified slate gaps validated by post-commission content performance</w:t>
            </w:r>
          </w:p>
        </w:tc>
        <w:tc>
          <w:tcPr>
            <w:tcW w:type="dxa" w:w="720"/>
            <w:tcBorders>
              <w:top w:val="single" w:color="CCCCCC" w:sz="1"/>
              <w:left w:val="single" w:color="CCCCCC" w:sz="1"/>
              <w:bottom w:val="single" w:color="CCCCCC" w:sz="1"/>
              <w:right w:val="single" w:color="CCCCCC" w:sz="1"/>
            </w:tcBorders>
            <w:shd w:fill="F2F4F8" w:val="clear"/>
          </w:tcPr>
          <w:p>
            <w:pPr>
              <w:spacing w:after="80" w:before="80"/>
              <w:jc w:val="center"/>
            </w:pPr>
            <w:r>
              <w:rPr>
                <w:rFonts w:ascii="Arial" w:cs="Arial" w:eastAsia="Arial" w:hAnsi="Arial"/>
                <w:b w:val="false"/>
                <w:bCs w:val="false"/>
                <w:color w:val="2D2D2D"/>
                <w:sz w:val="20"/>
                <w:szCs w:val="20"/>
              </w:rPr>
              <w:t xml:space="preserve">5</w:t>
            </w:r>
          </w:p>
        </w:tc>
        <w:tc>
          <w:tcPr>
            <w:tcW w:type="dxa" w:w="162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val="false"/>
                <w:bCs w:val="false"/>
                <w:color w:val="2D2D2D"/>
                <w:sz w:val="20"/>
                <w:szCs w:val="20"/>
              </w:rPr>
              <w:t xml:space="preserve">≥70% at 6-month review</w:t>
            </w:r>
          </w:p>
        </w:tc>
        <w:tc>
          <w:tcPr>
            <w:tcW w:type="dxa" w:w="270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val="false"/>
                <w:bCs w:val="false"/>
                <w:color w:val="2D2D2D"/>
                <w:sz w:val="20"/>
                <w:szCs w:val="20"/>
              </w:rPr>
              <w:t xml:space="preserve">Slate gap flags vs. subsequent commissioning outcomes</w:t>
            </w:r>
          </w:p>
        </w:tc>
      </w:tr>
      <w:tr>
        <w:tc>
          <w:tcPr>
            <w:tcW w:type="dxa" w:w="1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color w:val="2D2D2D"/>
                <w:sz w:val="20"/>
                <w:szCs w:val="20"/>
              </w:rPr>
              <w:t xml:space="preserve">Commercial Value Uplift</w:t>
            </w:r>
          </w:p>
        </w:tc>
        <w:tc>
          <w:tcPr>
            <w:tcW w:type="dxa" w:w="252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Ad targeting precision improvement (CTR delta) for persona-matched campaigns</w:t>
            </w:r>
          </w:p>
        </w:tc>
        <w:tc>
          <w:tcPr>
            <w:tcW w:type="dxa" w:w="720"/>
            <w:tcBorders>
              <w:top w:val="single" w:color="CCCCCC" w:sz="1"/>
              <w:left w:val="single" w:color="CCCCCC" w:sz="1"/>
              <w:bottom w:val="single" w:color="CCCCCC" w:sz="1"/>
              <w:right w:val="single" w:color="CCCCCC" w:sz="1"/>
            </w:tcBorders>
            <w:shd w:fill="FFFFFF" w:val="clear"/>
          </w:tcPr>
          <w:p>
            <w:pPr>
              <w:spacing w:after="80" w:before="80"/>
              <w:jc w:val="center"/>
            </w:pPr>
            <w:r>
              <w:rPr>
                <w:rFonts w:ascii="Arial" w:cs="Arial" w:eastAsia="Arial" w:hAnsi="Arial"/>
                <w:b w:val="false"/>
                <w:bCs w:val="false"/>
                <w:color w:val="2D2D2D"/>
                <w:sz w:val="20"/>
                <w:szCs w:val="20"/>
              </w:rPr>
              <w:t xml:space="preserve">5</w:t>
            </w:r>
          </w:p>
        </w:tc>
        <w:tc>
          <w:tcPr>
            <w:tcW w:type="dxa" w:w="162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+15% CTR vs. baseline</w:t>
            </w:r>
          </w:p>
        </w:tc>
        <w:tc>
          <w:tcPr>
            <w:tcW w:type="dxa" w:w="27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A/B comparison of persona-targeted vs. broad campaigns</w:t>
            </w:r>
          </w:p>
        </w:tc>
      </w:tr>
    </w:tbl>
    <w:p>
      <w:pPr>
        <w:spacing w:after="80"/>
      </w:pPr>
      <w:r>
        <w:t xml:space="preserve"/>
      </w:r>
    </w:p>
    <w:p>
      <w:pPr>
        <w:pStyle w:val="Heading1"/>
      </w:pPr>
      <w:r>
        <w:t xml:space="preserve">11. Risks &amp; Mitigations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60"/>
        <w:gridCol w:w="540"/>
        <w:gridCol w:w="2880"/>
        <w:gridCol w:w="3780"/>
      </w:tblGrid>
      <w:tr>
        <w:trPr>
          <w:tblHeader/>
        </w:trPr>
        <w:tc>
          <w:tcPr>
            <w:tcW w:type="dxa" w:w="2160"/>
            <w:tcBorders>
              <w:top w:val="single" w:color="CCCCCC" w:sz="1"/>
              <w:left w:val="single" w:color="CCCCCC" w:sz="1"/>
              <w:bottom w:val="single" w:color="CCCCCC" w:sz="1"/>
              <w:right w:val="single" w:color="CCCCCC" w:sz="1"/>
            </w:tcBorders>
            <w:shd w:fill="16213E" w:val="clear"/>
            <w:vAlign w:val="center"/>
          </w:tcPr>
          <w:p>
            <w:pPr>
              <w:spacing w:after="80" w:before="80"/>
              <w:jc w:val="center"/>
            </w:pPr>
            <w:r>
              <w:rPr>
                <w:rFonts w:ascii="Arial" w:cs="Arial" w:eastAsia="Arial" w:hAnsi="Arial"/>
                <w:b/>
                <w:bCs/>
                <w:color w:val="FFFFFF"/>
                <w:sz w:val="20"/>
                <w:szCs w:val="20"/>
              </w:rPr>
              <w:t xml:space="preserve">Risk</w:t>
            </w:r>
          </w:p>
        </w:tc>
        <w:tc>
          <w:tcPr>
            <w:tcW w:type="dxa" w:w="540"/>
            <w:tcBorders>
              <w:top w:val="single" w:color="CCCCCC" w:sz="1"/>
              <w:left w:val="single" w:color="CCCCCC" w:sz="1"/>
              <w:bottom w:val="single" w:color="CCCCCC" w:sz="1"/>
              <w:right w:val="single" w:color="CCCCCC" w:sz="1"/>
            </w:tcBorders>
            <w:shd w:fill="16213E" w:val="clear"/>
            <w:vAlign w:val="center"/>
          </w:tcPr>
          <w:p>
            <w:pPr>
              <w:spacing w:after="80" w:before="80"/>
              <w:jc w:val="center"/>
            </w:pPr>
            <w:r>
              <w:rPr>
                <w:rFonts w:ascii="Arial" w:cs="Arial" w:eastAsia="Arial" w:hAnsi="Arial"/>
                <w:b/>
                <w:bCs/>
                <w:color w:val="FFFFFF"/>
                <w:sz w:val="20"/>
                <w:szCs w:val="20"/>
              </w:rPr>
              <w:t xml:space="preserve">Level</w:t>
            </w:r>
          </w:p>
        </w:tc>
        <w:tc>
          <w:tcPr>
            <w:tcW w:type="dxa" w:w="2880"/>
            <w:tcBorders>
              <w:top w:val="single" w:color="CCCCCC" w:sz="1"/>
              <w:left w:val="single" w:color="CCCCCC" w:sz="1"/>
              <w:bottom w:val="single" w:color="CCCCCC" w:sz="1"/>
              <w:right w:val="single" w:color="CCCCCC" w:sz="1"/>
            </w:tcBorders>
            <w:shd w:fill="16213E" w:val="clear"/>
            <w:vAlign w:val="center"/>
          </w:tcPr>
          <w:p>
            <w:pPr>
              <w:spacing w:after="80" w:before="80"/>
              <w:jc w:val="center"/>
            </w:pPr>
            <w:r>
              <w:rPr>
                <w:rFonts w:ascii="Arial" w:cs="Arial" w:eastAsia="Arial" w:hAnsi="Arial"/>
                <w:b/>
                <w:bCs/>
                <w:color w:val="FFFFFF"/>
                <w:sz w:val="20"/>
                <w:szCs w:val="20"/>
              </w:rPr>
              <w:t xml:space="preserve">Description</w:t>
            </w:r>
          </w:p>
        </w:tc>
        <w:tc>
          <w:tcPr>
            <w:tcW w:type="dxa" w:w="3780"/>
            <w:tcBorders>
              <w:top w:val="single" w:color="CCCCCC" w:sz="1"/>
              <w:left w:val="single" w:color="CCCCCC" w:sz="1"/>
              <w:bottom w:val="single" w:color="CCCCCC" w:sz="1"/>
              <w:right w:val="single" w:color="CCCCCC" w:sz="1"/>
            </w:tcBorders>
            <w:shd w:fill="16213E" w:val="clear"/>
            <w:vAlign w:val="center"/>
          </w:tcPr>
          <w:p>
            <w:pPr>
              <w:spacing w:after="80" w:before="80"/>
              <w:jc w:val="center"/>
            </w:pPr>
            <w:r>
              <w:rPr>
                <w:rFonts w:ascii="Arial" w:cs="Arial" w:eastAsia="Arial" w:hAnsi="Arial"/>
                <w:b/>
                <w:bCs/>
                <w:color w:val="FFFFFF"/>
                <w:sz w:val="20"/>
                <w:szCs w:val="20"/>
              </w:rPr>
              <w:t xml:space="preserve">Mitigation</w:t>
            </w:r>
          </w:p>
        </w:tc>
      </w:tr>
      <w:tr>
        <w:tc>
          <w:tcPr>
            <w:tcW w:type="dxa" w:w="216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bCs/>
                <w:color w:val="2D2D2D"/>
                <w:sz w:val="20"/>
                <w:szCs w:val="20"/>
              </w:rPr>
              <w:t xml:space="preserve">Data Quality — Demographic Coverage</w:t>
            </w:r>
          </w:p>
        </w:tc>
        <w:tc>
          <w:tcPr>
            <w:tcW w:type="dxa" w:w="540"/>
            <w:tcBorders>
              <w:top w:val="single" w:color="CCCCCC" w:sz="1"/>
              <w:left w:val="single" w:color="CCCCCC" w:sz="1"/>
              <w:bottom w:val="single" w:color="CCCCCC" w:sz="1"/>
              <w:right w:val="single" w:color="CCCCCC" w:sz="1"/>
            </w:tcBorders>
            <w:shd w:fill="F2F4F8" w:val="clear"/>
            <w:vAlign w:val="center"/>
          </w:tcPr>
          <w:p>
            <w:pPr>
              <w:spacing w:after="80" w:before="80"/>
              <w:jc w:val="center"/>
            </w:pPr>
            <w:r>
              <w:rPr>
                <w:rFonts w:ascii="Arial" w:cs="Arial" w:eastAsia="Arial" w:hAnsi="Arial"/>
                <w:b/>
                <w:bCs/>
                <w:color w:val="E94560"/>
                <w:sz w:val="18"/>
                <w:szCs w:val="18"/>
              </w:rPr>
              <w:t xml:space="preserve">High</w:t>
            </w:r>
          </w:p>
        </w:tc>
        <w:tc>
          <w:tcPr>
            <w:tcW w:type="dxa" w:w="288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val="false"/>
                <w:bCs w:val="false"/>
                <w:color w:val="2D2D2D"/>
                <w:sz w:val="20"/>
                <w:szCs w:val="20"/>
              </w:rPr>
              <w:t xml:space="preserve">ML-predicted demographics may have significant error rates, particularly for age group prediction. Coverage gaps in under-represented demographics could bias persona construction.</w:t>
            </w:r>
          </w:p>
        </w:tc>
        <w:tc>
          <w:tcPr>
            <w:tcW w:type="dxa" w:w="378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val="false"/>
                <w:bCs w:val="false"/>
                <w:color w:val="2D2D2D"/>
                <w:sz w:val="20"/>
                <w:szCs w:val="20"/>
              </w:rPr>
              <w:t xml:space="preserve">Run demographic coverage and source distribution analysis in Phase 1 Step 1.2. Apply confidence weighting by source (Declared &gt; Amazon &gt; ML). Flag low-coverage personas in outputs.</w:t>
            </w:r>
          </w:p>
        </w:tc>
      </w:tr>
      <w:tr>
        <w:tc>
          <w:tcPr>
            <w:tcW w:type="dxa" w:w="21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color w:val="2D2D2D"/>
                <w:sz w:val="20"/>
                <w:szCs w:val="20"/>
              </w:rPr>
              <w:t xml:space="preserve">Persona Tag Sparsity</w:t>
            </w:r>
          </w:p>
        </w:tc>
        <w:tc>
          <w:tcPr>
            <w:tcW w:type="dxa" w:w="540"/>
            <w:tcBorders>
              <w:top w:val="single" w:color="CCCCCC" w:sz="1"/>
              <w:left w:val="single" w:color="CCCCCC" w:sz="1"/>
              <w:bottom w:val="single" w:color="CCCCCC" w:sz="1"/>
              <w:right w:val="single" w:color="CCCCCC" w:sz="1"/>
            </w:tcBorders>
            <w:shd w:fill="FFFFFF" w:val="clear"/>
            <w:vAlign w:val="center"/>
          </w:tcPr>
          <w:p>
            <w:pPr>
              <w:spacing w:after="80" w:before="80"/>
              <w:jc w:val="center"/>
            </w:pPr>
            <w:r>
              <w:rPr>
                <w:rFonts w:ascii="Arial" w:cs="Arial" w:eastAsia="Arial" w:hAnsi="Arial"/>
                <w:b/>
                <w:bCs/>
                <w:color w:val="B5451B"/>
                <w:sz w:val="18"/>
                <w:szCs w:val="18"/>
              </w:rPr>
              <w:t xml:space="preserve">Medium</w:t>
            </w:r>
          </w:p>
        </w:tc>
        <w:tc>
          <w:tcPr>
            <w:tcW w:type="dxa" w:w="28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A subset of Fatafat streamers may have no persona tags in mxp_persona_details_table_v3, particularly newer users or users acquired via certain channels.</w:t>
            </w:r>
          </w:p>
        </w:tc>
        <w:tc>
          <w:tcPr>
            <w:tcW w:type="dxa" w:w="37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Assess tag coverage rate in Phase 1 Step 1.3. Use genre affinity and viewing behavior as proxy signals for interest segmentation where tags are absent.</w:t>
            </w:r>
          </w:p>
        </w:tc>
      </w:tr>
      <w:tr>
        <w:tc>
          <w:tcPr>
            <w:tcW w:type="dxa" w:w="216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bCs/>
                <w:color w:val="2D2D2D"/>
                <w:sz w:val="20"/>
                <w:szCs w:val="20"/>
              </w:rPr>
              <w:t xml:space="preserve">Model Drift</w:t>
            </w:r>
          </w:p>
        </w:tc>
        <w:tc>
          <w:tcPr>
            <w:tcW w:type="dxa" w:w="540"/>
            <w:tcBorders>
              <w:top w:val="single" w:color="CCCCCC" w:sz="1"/>
              <w:left w:val="single" w:color="CCCCCC" w:sz="1"/>
              <w:bottom w:val="single" w:color="CCCCCC" w:sz="1"/>
              <w:right w:val="single" w:color="CCCCCC" w:sz="1"/>
            </w:tcBorders>
            <w:shd w:fill="F2F4F8" w:val="clear"/>
            <w:vAlign w:val="center"/>
          </w:tcPr>
          <w:p>
            <w:pPr>
              <w:spacing w:after="80" w:before="80"/>
              <w:jc w:val="center"/>
            </w:pPr>
            <w:r>
              <w:rPr>
                <w:rFonts w:ascii="Arial" w:cs="Arial" w:eastAsia="Arial" w:hAnsi="Arial"/>
                <w:b/>
                <w:bCs/>
                <w:color w:val="B5451B"/>
                <w:sz w:val="18"/>
                <w:szCs w:val="18"/>
              </w:rPr>
              <w:t xml:space="preserve">Medium</w:t>
            </w:r>
          </w:p>
        </w:tc>
        <w:tc>
          <w:tcPr>
            <w:tcW w:type="dxa" w:w="288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val="false"/>
                <w:bCs w:val="false"/>
                <w:color w:val="2D2D2D"/>
                <w:sz w:val="20"/>
                <w:szCs w:val="20"/>
              </w:rPr>
              <w:t xml:space="preserve">User behavioral patterns on Fatafat may shift significantly over time, causing pseudo-viewer models to produce increasingly inaccurate predictions.</w:t>
            </w:r>
          </w:p>
        </w:tc>
        <w:tc>
          <w:tcPr>
            <w:tcW w:type="dxa" w:w="378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val="false"/>
                <w:bCs w:val="false"/>
                <w:color w:val="2D2D2D"/>
                <w:sz w:val="20"/>
                <w:szCs w:val="20"/>
              </w:rPr>
              <w:t xml:space="preserve">Schedule quarterly model recalibration. Monitor prediction accuracy metrics post-deployment. Implement drift detection alerts when prediction error exceeds threshold.</w:t>
            </w:r>
          </w:p>
        </w:tc>
      </w:tr>
      <w:tr>
        <w:tc>
          <w:tcPr>
            <w:tcW w:type="dxa" w:w="21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color w:val="2D2D2D"/>
                <w:sz w:val="20"/>
                <w:szCs w:val="20"/>
              </w:rPr>
              <w:t xml:space="preserve">Cold Start for New Genres</w:t>
            </w:r>
          </w:p>
        </w:tc>
        <w:tc>
          <w:tcPr>
            <w:tcW w:type="dxa" w:w="540"/>
            <w:tcBorders>
              <w:top w:val="single" w:color="CCCCCC" w:sz="1"/>
              <w:left w:val="single" w:color="CCCCCC" w:sz="1"/>
              <w:bottom w:val="single" w:color="CCCCCC" w:sz="1"/>
              <w:right w:val="single" w:color="CCCCCC" w:sz="1"/>
            </w:tcBorders>
            <w:shd w:fill="FFFFFF" w:val="clear"/>
            <w:vAlign w:val="center"/>
          </w:tcPr>
          <w:p>
            <w:pPr>
              <w:spacing w:after="80" w:before="80"/>
              <w:jc w:val="center"/>
            </w:pPr>
            <w:r>
              <w:rPr>
                <w:rFonts w:ascii="Arial" w:cs="Arial" w:eastAsia="Arial" w:hAnsi="Arial"/>
                <w:b/>
                <w:bCs/>
                <w:color w:val="1A6B3A"/>
                <w:sz w:val="18"/>
                <w:szCs w:val="18"/>
              </w:rPr>
              <w:t xml:space="preserve">Low</w:t>
            </w:r>
          </w:p>
        </w:tc>
        <w:tc>
          <w:tcPr>
            <w:tcW w:type="dxa" w:w="28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The simulation engine relies on historical Fatafat performance data. For entirely new content genres with no Fatafat comparables, predictions will have wide confidence bands.</w:t>
            </w:r>
          </w:p>
        </w:tc>
        <w:tc>
          <w:tcPr>
            <w:tcW w:type="dxa" w:w="37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Use industry benchmarks (Cinelytic, Parrot Analytics demand data) as priors for new genres. Flag wide-confidence outputs explicitly in simulation reports.</w:t>
            </w:r>
          </w:p>
        </w:tc>
      </w:tr>
      <w:tr>
        <w:tc>
          <w:tcPr>
            <w:tcW w:type="dxa" w:w="216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bCs/>
                <w:color w:val="2D2D2D"/>
                <w:sz w:val="20"/>
                <w:szCs w:val="20"/>
              </w:rPr>
              <w:t xml:space="preserve">Privacy &amp; Compliance</w:t>
            </w:r>
          </w:p>
        </w:tc>
        <w:tc>
          <w:tcPr>
            <w:tcW w:type="dxa" w:w="540"/>
            <w:tcBorders>
              <w:top w:val="single" w:color="CCCCCC" w:sz="1"/>
              <w:left w:val="single" w:color="CCCCCC" w:sz="1"/>
              <w:bottom w:val="single" w:color="CCCCCC" w:sz="1"/>
              <w:right w:val="single" w:color="CCCCCC" w:sz="1"/>
            </w:tcBorders>
            <w:shd w:fill="F2F4F8" w:val="clear"/>
            <w:vAlign w:val="center"/>
          </w:tcPr>
          <w:p>
            <w:pPr>
              <w:spacing w:after="80" w:before="80"/>
              <w:jc w:val="center"/>
            </w:pPr>
            <w:r>
              <w:rPr>
                <w:rFonts w:ascii="Arial" w:cs="Arial" w:eastAsia="Arial" w:hAnsi="Arial"/>
                <w:b/>
                <w:bCs/>
                <w:color w:val="B5451B"/>
                <w:sz w:val="18"/>
                <w:szCs w:val="18"/>
              </w:rPr>
              <w:t xml:space="preserve">Medium</w:t>
            </w:r>
          </w:p>
        </w:tc>
        <w:tc>
          <w:tcPr>
            <w:tcW w:type="dxa" w:w="288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val="false"/>
                <w:bCs w:val="false"/>
                <w:color w:val="2D2D2D"/>
                <w:sz w:val="20"/>
                <w:szCs w:val="20"/>
              </w:rPr>
              <w:t xml:space="preserve">Linking behavioral, demographic, and interest data at the user level requires careful handling to ensure compliance with applicable data privacy regulations and Amazon data governance policies.</w:t>
            </w:r>
          </w:p>
        </w:tc>
        <w:tc>
          <w:tcPr>
            <w:tcW w:type="dxa" w:w="378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val="false"/>
                <w:bCs w:val="false"/>
                <w:color w:val="2D2D2D"/>
                <w:sz w:val="20"/>
                <w:szCs w:val="20"/>
              </w:rPr>
              <w:t xml:space="preserve">All analysis conducted on anonymized UUID-based data. No PII exposure in outputs or persona cards. Compliance review required before Phase 3 AI training data construction.</w:t>
            </w:r>
          </w:p>
        </w:tc>
      </w:tr>
      <w:tr>
        <w:tc>
          <w:tcPr>
            <w:tcW w:type="dxa" w:w="21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color w:val="2D2D2D"/>
                <w:sz w:val="20"/>
                <w:szCs w:val="20"/>
              </w:rPr>
              <w:t xml:space="preserve">Stakeholder Adoption</w:t>
            </w:r>
          </w:p>
        </w:tc>
        <w:tc>
          <w:tcPr>
            <w:tcW w:type="dxa" w:w="540"/>
            <w:tcBorders>
              <w:top w:val="single" w:color="CCCCCC" w:sz="1"/>
              <w:left w:val="single" w:color="CCCCCC" w:sz="1"/>
              <w:bottom w:val="single" w:color="CCCCCC" w:sz="1"/>
              <w:right w:val="single" w:color="CCCCCC" w:sz="1"/>
            </w:tcBorders>
            <w:shd w:fill="FFFFFF" w:val="clear"/>
            <w:vAlign w:val="center"/>
          </w:tcPr>
          <w:p>
            <w:pPr>
              <w:spacing w:after="80" w:before="80"/>
              <w:jc w:val="center"/>
            </w:pPr>
            <w:r>
              <w:rPr>
                <w:rFonts w:ascii="Arial" w:cs="Arial" w:eastAsia="Arial" w:hAnsi="Arial"/>
                <w:b/>
                <w:bCs/>
                <w:color w:val="B5451B"/>
                <w:sz w:val="18"/>
                <w:szCs w:val="18"/>
              </w:rPr>
              <w:t xml:space="preserve">Medium</w:t>
            </w:r>
          </w:p>
        </w:tc>
        <w:tc>
          <w:tcPr>
            <w:tcW w:type="dxa" w:w="28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Content and commissioning teams may not trust or act on simulation engine outputs if the predictions are not intuitive or the confidence scoring is unclear.</w:t>
            </w:r>
          </w:p>
        </w:tc>
        <w:tc>
          <w:tcPr>
            <w:tcW w:type="dxa" w:w="37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Phase 4 pilot is designed to build credibility through documented prediction accuracy. Invest in clear output format design and stakeholder training alongside Phase 5 deployment.</w:t>
            </w:r>
          </w:p>
        </w:tc>
      </w:tr>
    </w:tbl>
    <w:p>
      <w:pPr>
        <w:spacing w:after="80"/>
      </w:pPr>
      <w:r>
        <w:t xml:space="preserve"/>
      </w:r>
    </w:p>
    <w:p>
      <w:pPr>
        <w:pStyle w:val="Heading1"/>
      </w:pPr>
      <w:r>
        <w:t xml:space="preserve">12. Industry Benchmarks &amp; External Validation</w:t>
      </w:r>
    </w:p>
    <w:p>
      <w:pPr>
        <w:pStyle w:val="BodyText"/>
      </w:pPr>
      <w:r>
        <w:t xml:space="preserve">The Audience Simulation Engine approach is grounded in and validated by publicly documented industry implementations at leading streaming and entertainment platforms. These benchmarks establish the feasibility and expected value of the methodology.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60"/>
        <w:gridCol w:w="2160"/>
        <w:gridCol w:w="2520"/>
        <w:gridCol w:w="3420"/>
      </w:tblGrid>
      <w:tr>
        <w:trPr>
          <w:tblHeader/>
        </w:trPr>
        <w:tc>
          <w:tcPr>
            <w:tcW w:type="dxa" w:w="1260"/>
            <w:tcBorders>
              <w:top w:val="single" w:color="CCCCCC" w:sz="1"/>
              <w:left w:val="single" w:color="CCCCCC" w:sz="1"/>
              <w:bottom w:val="single" w:color="CCCCCC" w:sz="1"/>
              <w:right w:val="single" w:color="CCCCCC" w:sz="1"/>
            </w:tcBorders>
            <w:shd w:fill="16213E" w:val="clear"/>
            <w:vAlign w:val="center"/>
          </w:tcPr>
          <w:p>
            <w:pPr>
              <w:spacing w:after="80" w:before="80"/>
              <w:jc w:val="center"/>
            </w:pPr>
            <w:r>
              <w:rPr>
                <w:rFonts w:ascii="Arial" w:cs="Arial" w:eastAsia="Arial" w:hAnsi="Arial"/>
                <w:b/>
                <w:bCs/>
                <w:color w:val="FFFFFF"/>
                <w:sz w:val="20"/>
                <w:szCs w:val="20"/>
              </w:rPr>
              <w:t xml:space="preserve">Platform</w:t>
            </w:r>
          </w:p>
        </w:tc>
        <w:tc>
          <w:tcPr>
            <w:tcW w:type="dxa" w:w="2160"/>
            <w:tcBorders>
              <w:top w:val="single" w:color="CCCCCC" w:sz="1"/>
              <w:left w:val="single" w:color="CCCCCC" w:sz="1"/>
              <w:bottom w:val="single" w:color="CCCCCC" w:sz="1"/>
              <w:right w:val="single" w:color="CCCCCC" w:sz="1"/>
            </w:tcBorders>
            <w:shd w:fill="16213E" w:val="clear"/>
            <w:vAlign w:val="center"/>
          </w:tcPr>
          <w:p>
            <w:pPr>
              <w:spacing w:after="80" w:before="80"/>
              <w:jc w:val="center"/>
            </w:pPr>
            <w:r>
              <w:rPr>
                <w:rFonts w:ascii="Arial" w:cs="Arial" w:eastAsia="Arial" w:hAnsi="Arial"/>
                <w:b/>
                <w:bCs/>
                <w:color w:val="FFFFFF"/>
                <w:sz w:val="20"/>
                <w:szCs w:val="20"/>
              </w:rPr>
              <w:t xml:space="preserve">System</w:t>
            </w:r>
          </w:p>
        </w:tc>
        <w:tc>
          <w:tcPr>
            <w:tcW w:type="dxa" w:w="2520"/>
            <w:tcBorders>
              <w:top w:val="single" w:color="CCCCCC" w:sz="1"/>
              <w:left w:val="single" w:color="CCCCCC" w:sz="1"/>
              <w:bottom w:val="single" w:color="CCCCCC" w:sz="1"/>
              <w:right w:val="single" w:color="CCCCCC" w:sz="1"/>
            </w:tcBorders>
            <w:shd w:fill="16213E" w:val="clear"/>
            <w:vAlign w:val="center"/>
          </w:tcPr>
          <w:p>
            <w:pPr>
              <w:spacing w:after="80" w:before="80"/>
              <w:jc w:val="center"/>
            </w:pPr>
            <w:r>
              <w:rPr>
                <w:rFonts w:ascii="Arial" w:cs="Arial" w:eastAsia="Arial" w:hAnsi="Arial"/>
                <w:b/>
                <w:bCs/>
                <w:color w:val="FFFFFF"/>
                <w:sz w:val="20"/>
                <w:szCs w:val="20"/>
              </w:rPr>
              <w:t xml:space="preserve">Key Metric / Result</w:t>
            </w:r>
          </w:p>
        </w:tc>
        <w:tc>
          <w:tcPr>
            <w:tcW w:type="dxa" w:w="3420"/>
            <w:tcBorders>
              <w:top w:val="single" w:color="CCCCCC" w:sz="1"/>
              <w:left w:val="single" w:color="CCCCCC" w:sz="1"/>
              <w:bottom w:val="single" w:color="CCCCCC" w:sz="1"/>
              <w:right w:val="single" w:color="CCCCCC" w:sz="1"/>
            </w:tcBorders>
            <w:shd w:fill="16213E" w:val="clear"/>
            <w:vAlign w:val="center"/>
          </w:tcPr>
          <w:p>
            <w:pPr>
              <w:spacing w:after="80" w:before="80"/>
              <w:jc w:val="center"/>
            </w:pPr>
            <w:r>
              <w:rPr>
                <w:rFonts w:ascii="Arial" w:cs="Arial" w:eastAsia="Arial" w:hAnsi="Arial"/>
                <w:b/>
                <w:bCs/>
                <w:color w:val="FFFFFF"/>
                <w:sz w:val="20"/>
                <w:szCs w:val="20"/>
              </w:rPr>
              <w:t xml:space="preserve">Relevance to Our Approach</w:t>
            </w:r>
          </w:p>
        </w:tc>
      </w:tr>
      <w:tr>
        <w:tc>
          <w:tcPr>
            <w:tcW w:type="dxa" w:w="126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bCs/>
                <w:color w:val="2D2D2D"/>
                <w:sz w:val="20"/>
                <w:szCs w:val="20"/>
              </w:rPr>
              <w:t xml:space="preserve">Cinelytic</w:t>
            </w:r>
          </w:p>
        </w:tc>
        <w:tc>
          <w:tcPr>
            <w:tcW w:type="dxa" w:w="216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val="false"/>
                <w:bCs w:val="false"/>
                <w:color w:val="2D2D2D"/>
                <w:sz w:val="20"/>
                <w:szCs w:val="20"/>
              </w:rPr>
              <w:t xml:space="preserve">AI-powered content intelligence platform used by major studios</w:t>
            </w:r>
          </w:p>
        </w:tc>
        <w:tc>
          <w:tcPr>
            <w:tcW w:type="dxa" w:w="252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bCs/>
                <w:color w:val="2D2D2D"/>
                <w:sz w:val="20"/>
                <w:szCs w:val="20"/>
              </w:rPr>
              <w:t xml:space="preserve">85% accuracy in pre-production revenue forecasting for film and TV projects</w:t>
            </w:r>
          </w:p>
        </w:tc>
        <w:tc>
          <w:tcPr>
            <w:tcW w:type="dxa" w:w="342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val="false"/>
                <w:bCs w:val="false"/>
                <w:color w:val="2D2D2D"/>
                <w:sz w:val="20"/>
                <w:szCs w:val="20"/>
              </w:rPr>
              <w:t xml:space="preserve">Demonstrates that AI-driven audience modeling can achieve high predictive accuracy before content launch — the core premise of our simulation engine</w:t>
            </w:r>
          </w:p>
        </w:tc>
      </w:tr>
      <w:tr>
        <w:tc>
          <w:tcPr>
            <w:tcW w:type="dxa" w:w="12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color w:val="2D2D2D"/>
                <w:sz w:val="20"/>
                <w:szCs w:val="20"/>
              </w:rPr>
              <w:t xml:space="preserve">Disney Audience Graph</w:t>
            </w:r>
          </w:p>
        </w:tc>
        <w:tc>
          <w:tcPr>
            <w:tcW w:type="dxa" w:w="21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Disney's unified audience data layer across streaming, broadcast, and theme parks</w:t>
            </w:r>
          </w:p>
        </w:tc>
        <w:tc>
          <w:tcPr>
            <w:tcW w:type="dxa" w:w="252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color w:val="2D2D2D"/>
                <w:sz w:val="20"/>
                <w:szCs w:val="20"/>
              </w:rPr>
              <w:t xml:space="preserve">Cross-platform audience identity resolution and content performance prediction at the persona segment level</w:t>
            </w:r>
          </w:p>
        </w:tc>
        <w:tc>
          <w:tcPr>
            <w:tcW w:type="dxa" w:w="342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Validates the Layer 1 unified audience dataset approach; shows that linking behavioral and identity data at scale creates durable audience intelligence</w:t>
            </w:r>
          </w:p>
        </w:tc>
      </w:tr>
      <w:tr>
        <w:tc>
          <w:tcPr>
            <w:tcW w:type="dxa" w:w="126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bCs/>
                <w:color w:val="2D2D2D"/>
                <w:sz w:val="20"/>
                <w:szCs w:val="20"/>
              </w:rPr>
              <w:t xml:space="preserve">Netflix Ads Suite</w:t>
            </w:r>
          </w:p>
        </w:tc>
        <w:tc>
          <w:tcPr>
            <w:tcW w:type="dxa" w:w="216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val="false"/>
                <w:bCs w:val="false"/>
                <w:color w:val="2D2D2D"/>
                <w:sz w:val="20"/>
                <w:szCs w:val="20"/>
              </w:rPr>
              <w:t xml:space="preserve">Netflix's advertiser-facing audience targeting product</w:t>
            </w:r>
          </w:p>
        </w:tc>
        <w:tc>
          <w:tcPr>
            <w:tcW w:type="dxa" w:w="252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bCs/>
                <w:color w:val="2D2D2D"/>
                <w:sz w:val="20"/>
                <w:szCs w:val="20"/>
              </w:rPr>
              <w:t xml:space="preserve">Uses content affinity and viewing behavior clustering to create targetable audience segments for brand advertisers</w:t>
            </w:r>
          </w:p>
        </w:tc>
        <w:tc>
          <w:tcPr>
            <w:tcW w:type="dxa" w:w="342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val="false"/>
                <w:bCs w:val="false"/>
                <w:color w:val="2D2D2D"/>
                <w:sz w:val="20"/>
                <w:szCs w:val="20"/>
              </w:rPr>
              <w:t xml:space="preserve">Directly parallels our commercial profile layer; confirms that behavioral clustering from streaming data produces commercially valuable audience segments</w:t>
            </w:r>
          </w:p>
        </w:tc>
      </w:tr>
      <w:tr>
        <w:tc>
          <w:tcPr>
            <w:tcW w:type="dxa" w:w="12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color w:val="2D2D2D"/>
                <w:sz w:val="20"/>
                <w:szCs w:val="20"/>
              </w:rPr>
              <w:t xml:space="preserve">Parrot Analytics</w:t>
            </w:r>
          </w:p>
        </w:tc>
        <w:tc>
          <w:tcPr>
            <w:tcW w:type="dxa" w:w="21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Global content demand measurement and forecasting platform</w:t>
            </w:r>
          </w:p>
        </w:tc>
        <w:tc>
          <w:tcPr>
            <w:tcW w:type="dxa" w:w="252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color w:val="2D2D2D"/>
                <w:sz w:val="20"/>
                <w:szCs w:val="20"/>
              </w:rPr>
              <w:t xml:space="preserve">Demand sensing: quantifies audience demand for content before acquisition or production decisions using social, search, and behavioral signals</w:t>
            </w:r>
          </w:p>
        </w:tc>
        <w:tc>
          <w:tcPr>
            <w:tcW w:type="dxa" w:w="342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Validates the slate gap detection use case; demonstrates that leading platforms use demand signals to inform commissioning ahead of content gaps widening</w:t>
            </w:r>
          </w:p>
        </w:tc>
      </w:tr>
    </w:tbl>
    <w:p>
      <w:pPr>
        <w:spacing w:after="80"/>
      </w:pPr>
      <w:r>
        <w:t xml:space="preserve"/>
      </w:r>
    </w:p>
    <w:p>
      <w:pPr>
        <w:pStyle w:val="Heading3"/>
      </w:pPr>
      <w:r>
        <w:t xml:space="preserve">Our Differentiation</w:t>
      </w:r>
    </w:p>
    <w:p>
      <w:pPr>
        <w:pStyle w:val="BodyText"/>
      </w:pPr>
      <w:r>
        <w:t xml:space="preserve">The Fatafat Audience Simulation Engine benefits from a data advantage that distinguishes it from third-party industry solutions:</w:t>
      </w:r>
    </w:p>
    <w:p>
      <w:pPr>
        <w:pStyle w:val="BodyText"/>
        <w:numPr>
          <w:ilvl w:val="0"/>
          <w:numId w:val="2"/>
        </w:numPr>
      </w:pPr>
      <w:r>
        <w:t xml:space="preserve">First-party behavioral data: Direct access to all Fatafat streaming events in real time, without API latency or data sampling limitations</w:t>
      </w:r>
    </w:p>
    <w:p>
      <w:pPr>
        <w:pStyle w:val="BodyText"/>
        <w:numPr>
          <w:ilvl w:val="0"/>
          <w:numId w:val="2"/>
        </w:numPr>
      </w:pPr>
      <w:r>
        <w:t xml:space="preserve">Amazon identity integration: Amazon-sourced demographic and interest persona data augments ML-derived profiles, creating a richer audience model than behavioral data alone</w:t>
      </w:r>
    </w:p>
    <w:p>
      <w:pPr>
        <w:pStyle w:val="BodyText"/>
        <w:numPr>
          <w:ilvl w:val="0"/>
          <w:numId w:val="2"/>
        </w:numPr>
      </w:pPr>
      <w:r>
        <w:t xml:space="preserve">16 consumer panel categories: The breadth of interest segmentation enables commercial persona overlays that third-party tools cannot replicate at this scale</w:t>
      </w:r>
    </w:p>
    <w:p>
      <w:pPr>
        <w:pStyle w:val="BodyText"/>
        <w:numPr>
          <w:ilvl w:val="0"/>
          <w:numId w:val="2"/>
        </w:numPr>
      </w:pPr>
      <w:r>
        <w:t xml:space="preserve">Platform-native deployment: Simulation outputs can be integrated directly into commissioning and ad targeting workflows without third-party intermediation</w:t>
      </w:r>
    </w:p>
    <w:p>
      <w:pPr>
        <w:spacing w:after="80"/>
      </w:pPr>
      <w:r>
        <w:t xml:space="preserve"/>
      </w:r>
    </w:p>
    <w:p>
      <w:pPr>
        <w:pStyle w:val="Heading1"/>
      </w:pPr>
      <w:r>
        <w:t xml:space="preserve">Appendix: Key Terms &amp; Definitions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16213E" w:val="clear"/>
            <w:vAlign w:val="center"/>
          </w:tcPr>
          <w:p>
            <w:pPr>
              <w:spacing w:after="80" w:before="80"/>
              <w:jc w:val="center"/>
            </w:pPr>
            <w:r>
              <w:rPr>
                <w:rFonts w:ascii="Arial" w:cs="Arial" w:eastAsia="Arial" w:hAnsi="Arial"/>
                <w:b/>
                <w:bCs/>
                <w:color w:val="FFFFFF"/>
                <w:sz w:val="20"/>
                <w:szCs w:val="20"/>
              </w:rPr>
              <w:t xml:space="preserve">Term</w:t>
            </w:r>
          </w:p>
        </w:tc>
        <w:tc>
          <w:tcPr>
            <w:tcW w:type="dxa" w:w="6660"/>
            <w:tcBorders>
              <w:top w:val="single" w:color="CCCCCC" w:sz="1"/>
              <w:left w:val="single" w:color="CCCCCC" w:sz="1"/>
              <w:bottom w:val="single" w:color="CCCCCC" w:sz="1"/>
              <w:right w:val="single" w:color="CCCCCC" w:sz="1"/>
            </w:tcBorders>
            <w:shd w:fill="16213E" w:val="clear"/>
            <w:vAlign w:val="center"/>
          </w:tcPr>
          <w:p>
            <w:pPr>
              <w:spacing w:after="80" w:before="80"/>
              <w:jc w:val="center"/>
            </w:pPr>
            <w:r>
              <w:rPr>
                <w:rFonts w:ascii="Arial" w:cs="Arial" w:eastAsia="Arial" w:hAnsi="Arial"/>
                <w:b/>
                <w:bCs/>
                <w:color w:val="FFFFFF"/>
                <w:sz w:val="20"/>
                <w:szCs w:val="20"/>
              </w:rPr>
              <w:t xml:space="preserve">Definition</w:t>
            </w:r>
          </w:p>
        </w:tc>
      </w:tr>
      <w:tr>
        <w:tc>
          <w:tcPr>
            <w:tcW w:type="dxa" w:w="270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bCs/>
                <w:color w:val="2D2D2D"/>
                <w:sz w:val="20"/>
                <w:szCs w:val="20"/>
              </w:rPr>
              <w:t xml:space="preserve">Audience Simulation Engine</w:t>
            </w:r>
          </w:p>
        </w:tc>
        <w:tc>
          <w:tcPr>
            <w:tcW w:type="dxa" w:w="666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val="false"/>
                <w:bCs w:val="false"/>
                <w:color w:val="2D2D2D"/>
                <w:sz w:val="20"/>
                <w:szCs w:val="20"/>
              </w:rPr>
              <w:t xml:space="preserve">The three-layer system combining unified behavioral data, synthesized personas, and AI pseudo-viewer models to predict audience response to content pre-launch</w:t>
            </w:r>
          </w:p>
        </w:tc>
      </w:tr>
      <w:tr>
        <w:tc>
          <w:tcPr>
            <w:tcW w:type="dxa" w:w="27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color w:val="2D2D2D"/>
                <w:sz w:val="20"/>
                <w:szCs w:val="20"/>
              </w:rPr>
              <w:t xml:space="preserve">Synthetic Persona / Pseudo-Viewer</w:t>
            </w:r>
          </w:p>
        </w:tc>
        <w:tc>
          <w:tcPr>
            <w:tcW w:type="dxa" w:w="66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A composite audience profile constructed from behavioral clusters and enriched with demographic and interest data, used as the input identity for AI simulation runs</w:t>
            </w:r>
          </w:p>
        </w:tc>
      </w:tr>
      <w:tr>
        <w:tc>
          <w:tcPr>
            <w:tcW w:type="dxa" w:w="270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bCs/>
                <w:color w:val="2D2D2D"/>
                <w:sz w:val="20"/>
                <w:szCs w:val="20"/>
              </w:rPr>
              <w:t xml:space="preserve">Unified Audience Dataset</w:t>
            </w:r>
          </w:p>
        </w:tc>
        <w:tc>
          <w:tcPr>
            <w:tcW w:type="dxa" w:w="666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val="false"/>
                <w:bCs w:val="false"/>
                <w:color w:val="2D2D2D"/>
                <w:sz w:val="20"/>
                <w:szCs w:val="20"/>
              </w:rPr>
              <w:t xml:space="preserve">The Layer 1 output: a UUID-joined dataset linking Fatafat streaming behavioral signals, demographics, and interest persona tags for all active users</w:t>
            </w:r>
          </w:p>
        </w:tc>
      </w:tr>
      <w:tr>
        <w:tc>
          <w:tcPr>
            <w:tcW w:type="dxa" w:w="27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color w:val="2D2D2D"/>
                <w:sz w:val="20"/>
                <w:szCs w:val="20"/>
              </w:rPr>
              <w:t xml:space="preserve">Grow / Nourish / Sustain</w:t>
            </w:r>
          </w:p>
        </w:tc>
        <w:tc>
          <w:tcPr>
            <w:tcW w:type="dxa" w:w="66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Strategic persona role taxonomy: Grow = acquisition-priority large segments; Nourish = engagement-priority deep loyalists; Sustain = volume-priority habitual viewers</w:t>
            </w:r>
          </w:p>
        </w:tc>
      </w:tr>
      <w:tr>
        <w:tc>
          <w:tcPr>
            <w:tcW w:type="dxa" w:w="270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bCs/>
                <w:color w:val="2D2D2D"/>
                <w:sz w:val="20"/>
                <w:szCs w:val="20"/>
              </w:rPr>
              <w:t xml:space="preserve">Retention Signature</w:t>
            </w:r>
          </w:p>
        </w:tc>
        <w:tc>
          <w:tcPr>
            <w:tcW w:type="dxa" w:w="666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val="false"/>
                <w:bCs w:val="false"/>
                <w:color w:val="2D2D2D"/>
                <w:sz w:val="20"/>
                <w:szCs w:val="20"/>
              </w:rPr>
              <w:t xml:space="preserve">The characteristic retention curve shape for a given persona — defines where in an episode or series a persona typically drops off, replays, or completes</w:t>
            </w:r>
          </w:p>
        </w:tc>
      </w:tr>
      <w:tr>
        <w:tc>
          <w:tcPr>
            <w:tcW w:type="dxa" w:w="27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color w:val="2D2D2D"/>
                <w:sz w:val="20"/>
                <w:szCs w:val="20"/>
              </w:rPr>
              <w:t xml:space="preserve">Slate Gap</w:t>
            </w:r>
          </w:p>
        </w:tc>
        <w:tc>
          <w:tcPr>
            <w:tcW w:type="dxa" w:w="66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A content demand signal from one or more personas that is not currently addressed by any show in the active Fatafat content slate</w:t>
            </w:r>
          </w:p>
        </w:tc>
      </w:tr>
      <w:tr>
        <w:tc>
          <w:tcPr>
            <w:tcW w:type="dxa" w:w="270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bCs/>
                <w:color w:val="2D2D2D"/>
                <w:sz w:val="20"/>
                <w:szCs w:val="20"/>
              </w:rPr>
              <w:t xml:space="preserve">Engagement Prediction</w:t>
            </w:r>
          </w:p>
        </w:tc>
        <w:tc>
          <w:tcPr>
            <w:tcW w:type="dxa" w:w="666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val="false"/>
                <w:bCs w:val="false"/>
                <w:color w:val="2D2D2D"/>
                <w:sz w:val="20"/>
                <w:szCs w:val="20"/>
              </w:rPr>
              <w:t xml:space="preserve">A model output estimating the probable retention curve and completion rate for a new content concept, based on persona behavioral history</w:t>
            </w:r>
          </w:p>
        </w:tc>
      </w:tr>
      <w:tr>
        <w:tc>
          <w:tcPr>
            <w:tcW w:type="dxa" w:w="27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color w:val="2D2D2D"/>
                <w:sz w:val="20"/>
                <w:szCs w:val="20"/>
              </w:rPr>
              <w:t xml:space="preserve">Narrative Density Fit</w:t>
            </w:r>
          </w:p>
        </w:tc>
        <w:tc>
          <w:tcPr>
            <w:tcW w:type="dxa" w:w="66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The alignment between a show's pacing and complexity and a persona's demonstrated tolerance for narrative complexity (derived from historical retention patterns)</w:t>
            </w:r>
          </w:p>
        </w:tc>
      </w:tr>
      <w:tr>
        <w:tc>
          <w:tcPr>
            <w:tcW w:type="dxa" w:w="270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bCs/>
                <w:color w:val="2D2D2D"/>
                <w:sz w:val="20"/>
                <w:szCs w:val="20"/>
              </w:rPr>
              <w:t xml:space="preserve">Commercial Profile</w:t>
            </w:r>
          </w:p>
        </w:tc>
        <w:tc>
          <w:tcPr>
            <w:tcW w:type="dxa" w:w="666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val="false"/>
                <w:bCs w:val="false"/>
                <w:color w:val="2D2D2D"/>
                <w:sz w:val="20"/>
                <w:szCs w:val="20"/>
              </w:rPr>
              <w:t xml:space="preserve">The interest panel memberships and advertiser category affinities associated with a persona, used for ad targeting and sponsorship value identification</w:t>
            </w:r>
          </w:p>
        </w:tc>
      </w:tr>
      <w:tr>
        <w:tc>
          <w:tcPr>
            <w:tcW w:type="dxa" w:w="27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color w:val="2D2D2D"/>
                <w:sz w:val="20"/>
                <w:szCs w:val="20"/>
              </w:rPr>
              <w:t xml:space="preserve">3s Streamer</w:t>
            </w:r>
          </w:p>
        </w:tc>
        <w:tc>
          <w:tcPr>
            <w:tcW w:type="dxa" w:w="66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A user who has streamed at least 3 seconds of content on Fatafat in a given period — the standard minimum engagement threshold for counting active users</w:t>
            </w:r>
          </w:p>
        </w:tc>
      </w:tr>
      <w:tr>
        <w:tc>
          <w:tcPr>
            <w:tcW w:type="dxa" w:w="270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bCs/>
                <w:color w:val="2D2D2D"/>
                <w:sz w:val="20"/>
                <w:szCs w:val="20"/>
              </w:rPr>
              <w:t xml:space="preserve">UUID</w:t>
            </w:r>
          </w:p>
        </w:tc>
        <w:tc>
          <w:tcPr>
            <w:tcW w:type="dxa" w:w="666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val="false"/>
                <w:bCs w:val="false"/>
                <w:color w:val="2D2D2D"/>
                <w:sz w:val="20"/>
                <w:szCs w:val="20"/>
              </w:rPr>
              <w:t xml:space="preserve">Anonymized unique user identifier used to join behavioral, demographic, and persona data tables in Redshift without PII exposure</w:t>
            </w:r>
          </w:p>
        </w:tc>
      </w:tr>
      <w:tr>
        <w:tc>
          <w:tcPr>
            <w:tcW w:type="dxa" w:w="27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color w:val="2D2D2D"/>
                <w:sz w:val="20"/>
                <w:szCs w:val="20"/>
              </w:rPr>
              <w:t xml:space="preserve">mxp_persona_details_table_v3</w:t>
            </w:r>
          </w:p>
        </w:tc>
        <w:tc>
          <w:tcPr>
            <w:tcW w:type="dxa" w:w="66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The Redshift table containing user-level interest/persona tags, sourced from ML prediction (~181M users) and Amazon identity data (~54M users)</w:t>
            </w:r>
          </w:p>
        </w:tc>
      </w:tr>
      <w:tr>
        <w:tc>
          <w:tcPr>
            <w:tcW w:type="dxa" w:w="270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bCs/>
                <w:color w:val="2D2D2D"/>
                <w:sz w:val="20"/>
                <w:szCs w:val="20"/>
              </w:rPr>
              <w:t xml:space="preserve">mxp_age_gender_details_table_v3</w:t>
            </w:r>
          </w:p>
        </w:tc>
        <w:tc>
          <w:tcPr>
            <w:tcW w:type="dxa" w:w="6660"/>
            <w:tcBorders>
              <w:top w:val="single" w:color="CCCCCC" w:sz="1"/>
              <w:left w:val="single" w:color="CCCCCC" w:sz="1"/>
              <w:bottom w:val="single" w:color="CCCCCC" w:sz="1"/>
              <w:right w:val="single" w:color="CCCCCC" w:sz="1"/>
            </w:tcBorders>
            <w:shd w:fill="F2F4F8" w:val="clear"/>
          </w:tcPr>
          <w:p>
            <w:pPr>
              <w:spacing w:after="80" w:before="80"/>
              <w:jc w:val="left"/>
            </w:pPr>
            <w:r>
              <w:rPr>
                <w:rFonts w:ascii="Arial" w:cs="Arial" w:eastAsia="Arial" w:hAnsi="Arial"/>
                <w:b w:val="false"/>
                <w:bCs w:val="false"/>
                <w:color w:val="2D2D2D"/>
                <w:sz w:val="20"/>
                <w:szCs w:val="20"/>
              </w:rPr>
              <w:t xml:space="preserve">The Redshift table containing ML-predicted and declared age group and gender for ~228M Amazon MX Player users</w:t>
            </w:r>
          </w:p>
        </w:tc>
      </w:tr>
    </w:tbl>
    <w:p>
      <w:pPr>
        <w:spacing w:after="80"/>
      </w:pPr>
      <w:r>
        <w:t xml:space="preserve"/>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Amazon MX Player Fatafat  •  Synthetic Personas — Audience Simulation Engine  •  Internal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abstractNum w:abstractNumId="3" w15:restartNumberingAfterBreak="0">
    <w:multiLevelType w:val="hybridMultilevel"/>
    <w:lvl w:ilvl="0" w15:tentative="1">
      <w:start w:val="1"/>
      <w:numFmt w:val="bullet"/>
      <w:lvlText w:val="◦"/>
      <w:lvlJc w:val="left"/>
      <w:pPr>
        <w:spacing w:after="60"/>
        <w:ind w:left="1260" w:hanging="360"/>
      </w:pPr>
    </w:lvl>
  </w:abstractNum>
  <w:abstractNum w:abstractNumId="4" w15:restartNumberingAfterBreak="0">
    <w:multiLevelType w:val="hybridMultilevel"/>
    <w:lvl w:ilvl="0" w15:tentative="1">
      <w:start w:val="1"/>
      <w:numFmt w:val="decimal"/>
      <w:lvlText w:val="%1."/>
      <w:lvlJc w:val="left"/>
      <w:pPr>
        <w:spacing w:after="100"/>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pPr>
        <w:spacing w:after="1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0"/>
      <w:szCs w:val="30"/>
    </w:rPr>
  </w:style>
  <w:style w:type="paragraph" w:styleId="Heading2">
    <w:name w:val="Heading 2"/>
    <w:basedOn w:val="Normal"/>
    <w:next w:val="Normal"/>
    <w:qFormat/>
    <w:pPr>
      <w:spacing w:after="120" w:before="300"/>
      <w:outlineLvl w:val="1"/>
    </w:pPr>
    <w:rPr>
      <w:rFonts w:ascii="Arial" w:cs="Arial" w:eastAsia="Arial" w:hAnsi="Arial"/>
      <w:b/>
      <w:bCs/>
      <w:color w:val="16213E"/>
      <w:sz w:val="25"/>
      <w:szCs w:val="25"/>
    </w:rPr>
  </w:style>
  <w:style w:type="paragraph" w:styleId="Heading3">
    <w:name w:val="Heading 3"/>
    <w:basedOn w:val="Normal"/>
    <w:next w:val="Normal"/>
    <w:qFormat/>
    <w:pPr>
      <w:spacing w:after="100" w:before="220"/>
      <w:outlineLvl w:val="2"/>
    </w:pPr>
    <w:rPr>
      <w:rFonts w:ascii="Arial" w:cs="Arial" w:eastAsia="Arial" w:hAnsi="Arial"/>
      <w:b/>
      <w:bCs/>
      <w:color w:val="0F3460"/>
      <w:sz w:val="23"/>
      <w:szCs w:val="23"/>
    </w:rPr>
  </w:style>
  <w:style w:type="paragraph" w:styleId="BodyText">
    <w:name w:val="BodyText"/>
    <w:basedOn w:val="Normal"/>
    <w:pPr>
      <w:spacing w:after="160" w:line="280"/>
    </w:pPr>
    <w:rPr>
      <w:rFonts w:ascii="Arial" w:cs="Arial" w:eastAsia="Arial" w:hAnsi="Arial"/>
      <w:color w:val="2D2D2D"/>
      <w:sz w:val="22"/>
      <w:szCs w:val="22"/>
    </w:rPr>
  </w:style>
  <w:style w:type="paragraph" w:styleId="Caption">
    <w:name w:val="Caption"/>
    <w:basedOn w:val="Normal"/>
    <w:pPr>
      <w:spacing w:after="200" w:before="60"/>
      <w:jc w:val="center"/>
    </w:pPr>
    <w:rPr>
      <w:rFonts w:ascii="Arial" w:cs="Arial" w:eastAsia="Arial" w:hAnsi="Arial"/>
      <w:i/>
      <w:iCs/>
      <w:color w:val="666666"/>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2026-04-06T05:03:03.426Z</dcterms:created>
  <dcterms:modified xsi:type="dcterms:W3CDTF">2026-04-06T05:03:03.431Z</dcterms:modified>
</cp:coreProperties>
</file>

<file path=docProps/custom.xml><?xml version="1.0" encoding="utf-8"?>
<Properties xmlns="http://schemas.openxmlformats.org/officeDocument/2006/custom-properties" xmlns:vt="http://schemas.openxmlformats.org/officeDocument/2006/docPropsVTypes"/>
</file>