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A12" w:val="clear"/>
          </w:tcPr>
          <w:p>
            <w:pPr>
              <w:spacing w:after="80" w:before="240"/>
              <w:jc w:val="left"/>
            </w:pPr>
            <w:r>
              <w:rPr>
                <w:rFonts w:ascii="Arial" w:cs="Arial" w:eastAsia="Arial" w:hAnsi="Arial"/>
                <w:b/>
                <w:bCs/>
                <w:caps/>
                <w:color w:val="E91E8C"/>
                <w:sz w:val="22"/>
                <w:szCs w:val="22"/>
              </w:rPr>
              <w:t xml:space="preserve">AMAZON MX PLAYER</w:t>
            </w:r>
          </w:p>
          <w:p>
            <w:pPr>
              <w:spacing w:after="60" w:before="40"/>
              <w:jc w:val="left"/>
            </w:pPr>
            <w:r>
              <w:rPr>
                <w:rFonts w:ascii="Arial" w:cs="Arial" w:eastAsia="Arial" w:hAnsi="Arial"/>
                <w:color w:val="B0B0B0"/>
                <w:sz w:val="20"/>
                <w:szCs w:val="20"/>
              </w:rPr>
              <w:t xml:space="preserve">Fatafat Micro-Drama Vertical</w:t>
            </w:r>
          </w:p>
          <w:p>
            <w:pPr>
              <w:spacing w:after="40" w:before="80"/>
              <w:jc w:val="left"/>
            </w:pPr>
            <w:r>
              <w:rPr>
                <w:rFonts w:ascii="Arial" w:cs="Arial" w:eastAsia="Arial" w:hAnsi="Arial"/>
                <w:b/>
                <w:bCs/>
                <w:color w:val="FFFFFF"/>
                <w:sz w:val="62"/>
                <w:szCs w:val="62"/>
              </w:rPr>
              <w:t xml:space="preserve">SYNTHETIC PERSONAS</w:t>
            </w:r>
          </w:p>
          <w:p>
            <w:pPr>
              <w:spacing w:after="80" w:before="0"/>
              <w:jc w:val="left"/>
            </w:pPr>
            <w:r>
              <w:rPr>
                <w:rFonts w:ascii="Arial" w:cs="Arial" w:eastAsia="Arial" w:hAnsi="Arial"/>
                <w:b w:val="false"/>
                <w:bCs w:val="false"/>
                <w:color w:val="F48FB1"/>
                <w:sz w:val="36"/>
                <w:szCs w:val="36"/>
              </w:rPr>
              <w:t xml:space="preserve">Phase 1: Data Foundation Report</w:t>
            </w:r>
          </w:p>
          <w:p>
            <w:pPr>
              <w:spacing w:after="60" w:before="240"/>
              <w:jc w:val="left"/>
            </w:pPr>
            <w:r>
              <w:rPr>
                <w:rFonts w:ascii="Arial" w:cs="Arial" w:eastAsia="Arial" w:hAnsi="Arial"/>
                <w:i/>
                <w:iCs/>
                <w:color w:val="AAAAAA"/>
                <w:sz w:val="22"/>
                <w:szCs w:val="22"/>
              </w:rPr>
              <w:t xml:space="preserve">Behavioral intelligence from 400K+ daily streamers across 7 live Redshift tables</w:t>
            </w:r>
          </w:p>
          <w:p>
            <w:pPr>
              <w:spacing w:after="80" w:before="240"/>
              <w:jc w:val="left"/>
            </w:pPr>
            <w:r>
              <w:rPr>
                <w:rFonts w:ascii="Arial" w:cs="Arial" w:eastAsia="Arial" w:hAnsi="Arial"/>
                <w:color w:val="888888"/>
                <w:sz w:val="20"/>
                <w:szCs w:val="20"/>
              </w:rPr>
              <w:t xml:space="preserve">April 6, 2026  •  Data Period: Mar 31 – Apr 6, 2026  •  8 Analytical Queries</w:t>
            </w:r>
          </w:p>
          <w:p>
            <w:pPr>
              <w:spacing w:after="300" w:before="60"/>
              <w:jc w:val="left"/>
            </w:pPr>
            <w:r>
              <w:rPr>
                <w:rFonts w:ascii="Arial" w:cs="Arial" w:eastAsia="Arial" w:hAnsi="Arial"/>
                <w:caps/>
                <w:color w:val="555555"/>
                <w:sz w:val="18"/>
                <w:szCs w:val="18"/>
              </w:rPr>
              <w:t xml:space="preserve">CONFIDENTIAL — INTERNAL USE ONLY</w:t>
            </w:r>
          </w:p>
        </w:tc>
      </w:tr>
    </w:tbl>
    <w:p>
      <w:pPr>
        <w:spacing w:after="0" w:before="200"/>
      </w:pPr>
      <w:r>
        <w:t xml:space="preserve"/>
      </w:r>
    </w:p>
    <w:p>
      <w:r>
        <w:br w:type="page"/>
      </w:r>
    </w:p>
    <w:p>
      <w:pPr>
        <w:pStyle w:val="SectionHeading"/>
      </w:pPr>
      <w:r>
        <w:t xml:space="preserve">Executive Summary</w:t>
      </w:r>
    </w:p>
    <w:p>
      <w:pPr>
        <w:pStyle w:val="Body"/>
      </w:pPr>
      <w:r>
        <w:t xml:space="preserve">Phase 1 of the Synthetic Personas project — the Data Foundation — is now complete. Eight analytical queries executed against live Amazon MX Player Redshift tables have surfaced the behavioral, demographic, content, and channel signals necessary to build the unified audience dataset that underpins persona construction in Phase 2.</w:t>
      </w:r>
    </w:p>
    <w:p>
      <w:pPr>
        <w:pStyle w:val="Body"/>
      </w:pPr>
      <w:r>
        <w:t xml:space="preserve">Fatafat's daily active audience of 337K–410K streamers (3-second threshold) exhibits a richly differentiated behavioral structure that maps cleanly onto six persona hypotheses. The platform demonstrates strong engagement depth — 22–25 minutes per consumer per day — driven by a core of organic, returning viewers who watch multiple shows in a single session. At the same time, the majority (76.9%) of daily users are single-show samplers, representing both the platform's acquisition challenge and its largest growth opportunity.</w:t>
      </w:r>
    </w:p>
    <w:p>
      <w:pPr>
        <w:pStyle w:val="Body"/>
      </w:pPr>
      <w:r>
        <w:t xml:space="preserve">Six preliminary persona hypotheses have emerged from the intersection of demographics, content preferences, channel behavior, retention curves, and multi-show consumption patterns. These hypotheses are data-anchored but not yet statistically validated — that step belongs to Phase 2 (clustering). The most critical behavioral signal identified is the 1→2 show transition: users who watch a second show in a session watch 5.5x more total minutes than single-show viewers.</w:t>
      </w:r>
    </w:p>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gridCol w:w="400"/>
      </w:tblGrid>
      <w:tr>
        <w:trPr>
          <w:tblHeader/>
        </w:trPr>
        <w:tc>
          <w:tcPr>
            <w:tcW w:type="dxa" w:w="225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Daily Streamers</w:t>
            </w:r>
          </w:p>
        </w:tc>
        <w:tc>
          <w:tcPr>
            <w:tcW w:type="dxa" w:w="225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MPC Range</w:t>
            </w:r>
          </w:p>
        </w:tc>
        <w:tc>
          <w:tcPr>
            <w:tcW w:type="dxa" w:w="225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Demo Match Rate</w:t>
            </w:r>
          </w:p>
        </w:tc>
        <w:tc>
          <w:tcPr>
            <w:tcW w:type="dxa" w:w="225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Single-Show Users</w:t>
            </w:r>
          </w:p>
        </w:tc>
        <w:tc>
          <w:tcPr>
            <w:tcW w:type="dxa" w:w="4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
            </w:r>
          </w:p>
        </w:tc>
      </w:tr>
      <w:tr>
        <w:tc>
          <w:tcPr>
            <w:tcW w:type="dxa" w:w="225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C2185B"/>
                <w:sz w:val="20"/>
                <w:szCs w:val="20"/>
              </w:rPr>
              <w:t xml:space="preserve">337K – 410K</w:t>
            </w:r>
          </w:p>
        </w:tc>
        <w:tc>
          <w:tcPr>
            <w:tcW w:type="dxa" w:w="225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bCs/>
                <w:color w:val="00897B"/>
                <w:sz w:val="20"/>
                <w:szCs w:val="20"/>
              </w:rPr>
              <w:t xml:space="preserve">22–25 min</w:t>
            </w:r>
          </w:p>
        </w:tc>
        <w:tc>
          <w:tcPr>
            <w:tcW w:type="dxa" w:w="2250"/>
            <w:tcBorders>
              <w:top w:val="single" w:color="D0D0D0" w:sz="1"/>
              <w:left w:val="single" w:color="D0D0D0" w:sz="1"/>
              <w:bottom w:val="single" w:color="D0D0D0" w:sz="1"/>
              <w:right w:val="single" w:color="D0D0D0" w:sz="1"/>
            </w:tcBorders>
            <w:shd w:fill="FFF8E1" w:val="clear"/>
          </w:tcPr>
          <w:p>
            <w:pPr>
              <w:spacing w:after="60" w:before="60"/>
              <w:jc w:val="center"/>
            </w:pPr>
            <w:r>
              <w:rPr>
                <w:rFonts w:ascii="Arial" w:cs="Arial" w:eastAsia="Arial" w:hAnsi="Arial"/>
                <w:b/>
                <w:bCs/>
                <w:color w:val="E65100"/>
                <w:sz w:val="20"/>
                <w:szCs w:val="20"/>
              </w:rPr>
              <w:t xml:space="preserve">95%</w:t>
            </w:r>
          </w:p>
        </w:tc>
        <w:tc>
          <w:tcPr>
            <w:tcW w:type="dxa" w:w="2250"/>
            <w:tcBorders>
              <w:top w:val="single" w:color="D0D0D0" w:sz="1"/>
              <w:left w:val="single" w:color="D0D0D0" w:sz="1"/>
              <w:bottom w:val="single" w:color="D0D0D0" w:sz="1"/>
              <w:right w:val="single" w:color="D0D0D0" w:sz="1"/>
            </w:tcBorders>
            <w:shd w:fill="F3E5F5" w:val="clear"/>
          </w:tcPr>
          <w:p>
            <w:pPr>
              <w:spacing w:after="60" w:before="60"/>
              <w:jc w:val="center"/>
            </w:pPr>
            <w:r>
              <w:rPr>
                <w:rFonts w:ascii="Arial" w:cs="Arial" w:eastAsia="Arial" w:hAnsi="Arial"/>
                <w:b/>
                <w:bCs/>
                <w:color w:val="7B1FA2"/>
                <w:sz w:val="20"/>
                <w:szCs w:val="20"/>
              </w:rPr>
              <w:t xml:space="preserve">76.9%</w:t>
            </w:r>
          </w:p>
        </w:tc>
        <w:tc>
          <w:tcPr>
            <w:tcW w:type="dxa" w:w="4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
            </w:r>
          </w:p>
        </w:tc>
      </w:tr>
      <w:tr>
        <w:tc>
          <w:tcPr>
            <w:tcW w:type="dxa" w:w="2250"/>
            <w:tcBorders>
              <w:top w:val="single" w:color="D0D0D0" w:sz="1"/>
              <w:left w:val="single" w:color="D0D0D0" w:sz="1"/>
              <w:bottom w:val="single" w:color="D0D0D0" w:sz="1"/>
              <w:right w:val="single" w:color="D0D0D0" w:sz="1"/>
            </w:tcBorders>
            <w:shd w:fill="FAFAFA" w:val="clear"/>
          </w:tcPr>
          <w:p>
            <w:pPr>
              <w:spacing w:after="60" w:before="60"/>
              <w:jc w:val="center"/>
            </w:pPr>
            <w:r>
              <w:rPr>
                <w:rFonts w:ascii="Arial" w:cs="Arial" w:eastAsia="Arial" w:hAnsi="Arial"/>
                <w:b w:val="false"/>
                <w:bCs w:val="false"/>
                <w:color w:val="888888"/>
                <w:sz w:val="20"/>
                <w:szCs w:val="20"/>
              </w:rPr>
              <w:t xml:space="preserve">3-second threshold | Mar 31–Apr 6</w:t>
            </w:r>
          </w:p>
        </w:tc>
        <w:tc>
          <w:tcPr>
            <w:tcW w:type="dxa" w:w="2250"/>
            <w:tcBorders>
              <w:top w:val="single" w:color="D0D0D0" w:sz="1"/>
              <w:left w:val="single" w:color="D0D0D0" w:sz="1"/>
              <w:bottom w:val="single" w:color="D0D0D0" w:sz="1"/>
              <w:right w:val="single" w:color="D0D0D0" w:sz="1"/>
            </w:tcBorders>
            <w:shd w:fill="FAFAFA" w:val="clear"/>
          </w:tcPr>
          <w:p>
            <w:pPr>
              <w:spacing w:after="60" w:before="60"/>
              <w:jc w:val="center"/>
            </w:pPr>
            <w:r>
              <w:rPr>
                <w:rFonts w:ascii="Arial" w:cs="Arial" w:eastAsia="Arial" w:hAnsi="Arial"/>
                <w:b w:val="false"/>
                <w:bCs w:val="false"/>
                <w:color w:val="888888"/>
                <w:sz w:val="20"/>
                <w:szCs w:val="20"/>
              </w:rPr>
              <w:t xml:space="preserve">Organic users: 39.5 min avg</w:t>
            </w:r>
          </w:p>
        </w:tc>
        <w:tc>
          <w:tcPr>
            <w:tcW w:type="dxa" w:w="2250"/>
            <w:tcBorders>
              <w:top w:val="single" w:color="D0D0D0" w:sz="1"/>
              <w:left w:val="single" w:color="D0D0D0" w:sz="1"/>
              <w:bottom w:val="single" w:color="D0D0D0" w:sz="1"/>
              <w:right w:val="single" w:color="D0D0D0" w:sz="1"/>
            </w:tcBorders>
            <w:shd w:fill="FAFAFA" w:val="clear"/>
          </w:tcPr>
          <w:p>
            <w:pPr>
              <w:spacing w:after="60" w:before="60"/>
              <w:jc w:val="center"/>
            </w:pPr>
            <w:r>
              <w:rPr>
                <w:rFonts w:ascii="Arial" w:cs="Arial" w:eastAsia="Arial" w:hAnsi="Arial"/>
                <w:b w:val="false"/>
                <w:bCs w:val="false"/>
                <w:color w:val="888888"/>
                <w:sz w:val="20"/>
                <w:szCs w:val="20"/>
              </w:rPr>
              <w:t xml:space="preserve">mxp_age_gender_details_v3</w:t>
            </w:r>
          </w:p>
        </w:tc>
        <w:tc>
          <w:tcPr>
            <w:tcW w:type="dxa" w:w="2250"/>
            <w:tcBorders>
              <w:top w:val="single" w:color="D0D0D0" w:sz="1"/>
              <w:left w:val="single" w:color="D0D0D0" w:sz="1"/>
              <w:bottom w:val="single" w:color="D0D0D0" w:sz="1"/>
              <w:right w:val="single" w:color="D0D0D0" w:sz="1"/>
            </w:tcBorders>
            <w:shd w:fill="FAFAFA" w:val="clear"/>
          </w:tcPr>
          <w:p>
            <w:pPr>
              <w:spacing w:after="60" w:before="60"/>
              <w:jc w:val="center"/>
            </w:pPr>
            <w:r>
              <w:rPr>
                <w:rFonts w:ascii="Arial" w:cs="Arial" w:eastAsia="Arial" w:hAnsi="Arial"/>
                <w:b w:val="false"/>
                <w:bCs w:val="false"/>
                <w:color w:val="888888"/>
                <w:sz w:val="20"/>
                <w:szCs w:val="20"/>
              </w:rPr>
              <w:t xml:space="preserve">Biggest growth lever on platform</w:t>
            </w:r>
          </w:p>
        </w:tc>
        <w:tc>
          <w:tcPr>
            <w:tcW w:type="dxa" w:w="400"/>
            <w:tcBorders>
              <w:top w:val="single" w:color="D0D0D0" w:sz="1"/>
              <w:left w:val="single" w:color="D0D0D0" w:sz="1"/>
              <w:bottom w:val="single" w:color="D0D0D0" w:sz="1"/>
              <w:right w:val="single" w:color="D0D0D0" w:sz="1"/>
            </w:tcBorders>
            <w:shd w:fill="FAFAFA" w:val="clear"/>
          </w:tcPr>
          <w:p>
            <w:pPr>
              <w:spacing w:after="60" w:before="60"/>
              <w:jc w:val="left"/>
            </w:pPr>
            <w:r>
              <w:rPr>
                <w:rFonts w:ascii="Arial" w:cs="Arial" w:eastAsia="Arial" w:hAnsi="Arial"/>
                <w:b w:val="false"/>
                <w:bCs w:val="false"/>
                <w:color w:val="2C3E50"/>
                <w:sz w:val="20"/>
                <w:szCs w:val="20"/>
              </w:rPr>
              <w:t xml:space="preserve"/>
            </w:r>
          </w:p>
        </w:tc>
      </w:tr>
    </w:tbl>
    <w:p>
      <w:pPr>
        <w:spacing w:after="0" w:before="200"/>
      </w:pPr>
      <w:r>
        <w:t xml:space="preserve"/>
      </w:r>
    </w:p>
    <w:p>
      <w:pPr>
        <w:pStyle w:val="SubHeading"/>
      </w:pPr>
      <w:r>
        <w:t xml:space="preserve">Phase 1 — Eight Queries, Eight Findings</w:t>
      </w:r>
    </w:p>
    <w:p>
      <w:pPr>
        <w:pStyle w:val="ListParagraph"/>
        <w:numPr>
          <w:ilvl w:val="0"/>
          <w:numId w:val="2"/>
        </w:numPr>
      </w:pPr>
      <w:r>
        <w:rPr>
          <w:rFonts w:ascii="Arial" w:cs="Arial" w:eastAsia="Arial" w:hAnsi="Arial"/>
          <w:color w:val="2C3E50"/>
          <w:sz w:val="21"/>
          <w:szCs w:val="21"/>
        </w:rPr>
        <w:t xml:space="preserve">Baseline Streaming Snapshot: 337K–410K daily 3s streamers; Saturday peak at 409,753; MPC of 22–25 min/day; ~21–23 streams per user per day consistent with micro-drama short-episode cadence.</w:t>
      </w:r>
    </w:p>
    <w:p>
      <w:pPr>
        <w:pStyle w:val="ListParagraph"/>
        <w:numPr>
          <w:ilvl w:val="0"/>
          <w:numId w:val="2"/>
        </w:numPr>
      </w:pPr>
      <w:r>
        <w:rPr>
          <w:rFonts w:ascii="Arial" w:cs="Arial" w:eastAsia="Arial" w:hAnsi="Arial"/>
          <w:color w:val="2C3E50"/>
          <w:sz w:val="21"/>
          <w:szCs w:val="21"/>
        </w:rPr>
        <w:t xml:space="preserve">Demographics Breakdown: F18-24 is the single largest demographic cell at 108K users (28.6%); 95% demographic match rate; gender flips at 25-34 from female-dominant to male-dominant.</w:t>
      </w:r>
    </w:p>
    <w:p>
      <w:pPr>
        <w:pStyle w:val="ListParagraph"/>
        <w:numPr>
          <w:ilvl w:val="0"/>
          <w:numId w:val="2"/>
        </w:numPr>
      </w:pPr>
      <w:r>
        <w:rPr>
          <w:rFonts w:ascii="Arial" w:cs="Arial" w:eastAsia="Arial" w:hAnsi="Arial"/>
          <w:color w:val="2C3E50"/>
          <w:sz w:val="21"/>
          <w:szCs w:val="21"/>
        </w:rPr>
        <w:t xml:space="preserve">Interest / Persona Segments: ML persona tags cover 70–76% of all streamers per tag — indicating broad affinities, not exclusive segments. Tags must be used as clustering feature vectors, not persona definitions.</w:t>
      </w:r>
    </w:p>
    <w:p>
      <w:pPr>
        <w:pStyle w:val="ListParagraph"/>
        <w:numPr>
          <w:ilvl w:val="0"/>
          <w:numId w:val="2"/>
        </w:numPr>
      </w:pPr>
      <w:r>
        <w:rPr>
          <w:rFonts w:ascii="Arial" w:cs="Arial" w:eastAsia="Arial" w:hAnsi="Arial"/>
          <w:color w:val="2C3E50"/>
          <w:sz w:val="21"/>
          <w:szCs w:val="21"/>
        </w:rPr>
        <w:t xml:space="preserve">Top Shows by Streamers: Three distinct consumption patterns — Discovery/Sampling (&lt;15 MPC), Steady Engagement (15–30 MPC), and Binge/Loyal (30+ MPC). Romance/CEO dramas dominate the deep-engagement tier.</w:t>
      </w:r>
    </w:p>
    <w:p>
      <w:pPr>
        <w:pStyle w:val="ListParagraph"/>
        <w:numPr>
          <w:ilvl w:val="0"/>
          <w:numId w:val="2"/>
        </w:numPr>
      </w:pPr>
      <w:r>
        <w:rPr>
          <w:rFonts w:ascii="Arial" w:cs="Arial" w:eastAsia="Arial" w:hAnsi="Arial"/>
          <w:color w:val="2C3E50"/>
          <w:sz w:val="21"/>
          <w:szCs w:val="21"/>
        </w:rPr>
        <w:t xml:space="preserve">Channel Distribution: Paid acquisition drives 49% of streamers but only 25% of watchtime. Organic users contribute 39% of streamers but 73% of total watchtime at 3.6x higher MPC.</w:t>
      </w:r>
    </w:p>
    <w:p>
      <w:pPr>
        <w:pStyle w:val="ListParagraph"/>
        <w:numPr>
          <w:ilvl w:val="0"/>
          <w:numId w:val="2"/>
        </w:numPr>
      </w:pPr>
      <w:r>
        <w:rPr>
          <w:rFonts w:ascii="Arial" w:cs="Arial" w:eastAsia="Arial" w:hAnsi="Arial"/>
          <w:color w:val="2C3E50"/>
          <w:sz w:val="21"/>
          <w:szCs w:val="21"/>
        </w:rPr>
        <w:t xml:space="preserve">Episode Retention Curve: Classic "cliff + plateau" shape — 65% of viewers leave after Ep1. The first lock boundary (Ep5→Ep6) drives a further 35.6% drop. Users who survive become highly committed (stable through Ep80).</w:t>
      </w:r>
    </w:p>
    <w:p>
      <w:pPr>
        <w:pStyle w:val="ListParagraph"/>
        <w:numPr>
          <w:ilvl w:val="0"/>
          <w:numId w:val="2"/>
        </w:numPr>
      </w:pPr>
      <w:r>
        <w:rPr>
          <w:rFonts w:ascii="Arial" w:cs="Arial" w:eastAsia="Arial" w:hAnsi="Arial"/>
          <w:color w:val="2C3E50"/>
          <w:sz w:val="21"/>
          <w:szCs w:val="21"/>
        </w:rPr>
        <w:t xml:space="preserve">Multi-Show Consumption: 76.9% of users watch only 1 show (7.8 min avg). The 1→2 show transition produces a 5.5x watchtime increase — the single most important engagement signal in the data.</w:t>
      </w:r>
    </w:p>
    <w:p>
      <w:pPr>
        <w:pStyle w:val="ListParagraph"/>
        <w:numPr>
          <w:ilvl w:val="0"/>
          <w:numId w:val="2"/>
        </w:numPr>
      </w:pPr>
      <w:r>
        <w:rPr>
          <w:rFonts w:ascii="Arial" w:cs="Arial" w:eastAsia="Arial" w:hAnsi="Arial"/>
          <w:color w:val="2C3E50"/>
          <w:sz w:val="21"/>
          <w:szCs w:val="21"/>
        </w:rPr>
        <w:t xml:space="preserve">Demographics × Shows: Each show has a distinct demographic fingerprint. "Our Love Is The Ocean Of Stars" is 75.3% female; "Why Do You Love Me?" is nearly gender-equal at 49.2% female.</w:t>
      </w:r>
    </w:p>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single" w:color="C2185B" w:sz="18"/>
              <w:bottom w:val="single" w:color="EEEEEE" w:sz="2"/>
              <w:right w:val="single" w:color="EEEEEE" w:sz="2"/>
            </w:tcBorders>
            <w:shd w:fill="FFF5F7" w:val="clear"/>
          </w:tcPr>
          <w:p>
            <w:pPr>
              <w:spacing w:after="120" w:before="120"/>
            </w:pPr>
            <w:r>
              <w:rPr>
                <w:rFonts w:ascii="Arial" w:cs="Arial" w:eastAsia="Arial" w:hAnsi="Arial"/>
                <w:b/>
                <w:bCs/>
                <w:color w:val="C2185B"/>
                <w:sz w:val="22"/>
                <w:szCs w:val="22"/>
              </w:rPr>
              <w:t xml:space="preserve">Critical Insight: The 1→2 show transition is the single most important engagement signal on Fatafat. Converting even 10% of the 308K single-show samplers into 2-show explorers would add approximately 10M+ watchtime minutes per day.</w:t>
            </w:r>
          </w:p>
        </w:tc>
      </w:tr>
    </w:tbl>
    <w:p>
      <w:pPr>
        <w:spacing w:after="0" w:before="200"/>
      </w:pPr>
      <w:r>
        <w:t xml:space="preserve"/>
      </w:r>
    </w:p>
    <w:p>
      <w:r>
        <w:br w:type="page"/>
      </w:r>
    </w:p>
    <w:p>
      <w:pPr>
        <w:pStyle w:val="SectionHeading"/>
      </w:pPr>
      <w:r>
        <w:t xml:space="preserve">Query 1 — Baseline Streaming Snapshot</w:t>
      </w:r>
    </w:p>
    <w:p>
      <w:pPr>
        <w:pStyle w:val="Body"/>
      </w:pPr>
      <w:r>
        <w:t xml:space="preserve">Source: fatafat.mxp_fatafat_player_engagement | Period: Mar 31 – Apr 6, 2026 | Threshold: 3-second per-stream</w:t>
      </w:r>
    </w:p>
    <w:p>
      <w:pPr>
        <w:pStyle w:val="Body"/>
      </w:pPr>
      <w:r>
        <w:t xml:space="preserve">The baseline snapshot establishes the foundational scale of Fatafat's active audience. Using a per-stream 3-second filter applied before aggregation — the accurate methodology — the query captures daily unique streamers, total watchtime, stream volume, and Minutes Per Consumer (MPC).</w:t>
      </w:r>
    </w:p>
    <w:p>
      <w:pPr>
        <w:spacing w:after="0" w:before="80"/>
      </w:pPr>
      <w:r>
        <w:t xml:space="preserve"/>
      </w:r>
    </w:p>
    <w:p>
      <w:pPr>
        <w:spacing w:after="60" w:before="120"/>
        <w:jc w:val="center"/>
      </w:pPr>
      <w:r>
        <w:drawing>
          <wp:inline distT="0" distB="0" distL="0" distR="0">
            <wp:extent cx="5715000" cy="3105150"/>
            <wp:effectExtent t="0" r="0" b="0" l="0"/>
            <wp:docPr id="1" name="chart1_streamers_mpc.png" descr="chart1_streamers_mpc.png" title="chart1_streamers_mp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05150"/>
                    </a:xfrm>
                    <a:prstGeom prst="rect">
                      <a:avLst/>
                    </a:prstGeom>
                  </pic:spPr>
                </pic:pic>
              </a:graphicData>
            </a:graphic>
          </wp:inline>
        </w:drawing>
      </w:r>
    </w:p>
    <w:p>
      <w:pPr>
        <w:pStyle w:val="Caption"/>
      </w:pPr>
      <w:r>
        <w:rPr>
          <w:i/>
          <w:iCs/>
          <w:color w:val="666666"/>
          <w:sz w:val="18"/>
          <w:szCs w:val="18"/>
        </w:rPr>
        <w:t xml:space="preserve">Figure 1.1: Daily Unique Streamers (3s) and MPC Trend — Mar 31 to Apr 6, 2026</w:t>
      </w:r>
    </w:p>
    <w:p>
      <w:pPr>
        <w:spacing w:after="0" w:before="80"/>
      </w:pPr>
      <w:r>
        <w:t xml:space="preserve"/>
      </w:r>
    </w:p>
    <w:p>
      <w:pPr>
        <w:pStyle w:val="SubHeading"/>
      </w:pPr>
      <w:r>
        <w:t xml:space="preserve">Data Table — Daily Streaming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00"/>
        <w:gridCol w:w="2000"/>
        <w:gridCol w:w="1860"/>
      </w:tblGrid>
      <w:tr>
        <w:trPr>
          <w:tblHeader/>
        </w:trPr>
        <w:tc>
          <w:tcPr>
            <w:tcW w:type="dxa" w:w="16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Date</w:t>
            </w:r>
          </w:p>
        </w:tc>
        <w:tc>
          <w:tcPr>
            <w:tcW w:type="dxa" w:w="18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Streamers (3s)</w:t>
            </w:r>
          </w:p>
        </w:tc>
        <w:tc>
          <w:tcPr>
            <w:tcW w:type="dxa" w:w="21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Watchtime (min)</w:t>
            </w:r>
          </w:p>
        </w:tc>
        <w:tc>
          <w:tcPr>
            <w:tcW w:type="dxa" w:w="20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Total Streams</w:t>
            </w:r>
          </w:p>
        </w:tc>
        <w:tc>
          <w:tcPr>
            <w:tcW w:type="dxa" w:w="18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MPC (min)</w:t>
            </w:r>
          </w:p>
        </w:tc>
      </w:tr>
      <w:tr>
        <w:tc>
          <w:tcPr>
            <w:tcW w:type="dxa" w:w="16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Mar 31 (Tue)</w:t>
            </w:r>
          </w:p>
        </w:tc>
        <w:tc>
          <w:tcPr>
            <w:tcW w:type="dxa" w:w="18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337,229</w:t>
            </w:r>
          </w:p>
        </w:tc>
        <w:tc>
          <w:tcPr>
            <w:tcW w:type="dxa" w:w="21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7,828,022</w:t>
            </w:r>
          </w:p>
        </w:tc>
        <w:tc>
          <w:tcPr>
            <w:tcW w:type="dxa" w:w="20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7,221,753</w:t>
            </w:r>
          </w:p>
        </w:tc>
        <w:tc>
          <w:tcPr>
            <w:tcW w:type="dxa" w:w="186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23.2</w:t>
            </w:r>
          </w:p>
        </w:tc>
      </w:tr>
      <w:tr>
        <w:tc>
          <w:tcPr>
            <w:tcW w:type="dxa" w:w="16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Apr 01 (Wed)</w:t>
            </w:r>
          </w:p>
        </w:tc>
        <w:tc>
          <w:tcPr>
            <w:tcW w:type="dxa" w:w="18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378,202</w:t>
            </w:r>
          </w:p>
        </w:tc>
        <w:tc>
          <w:tcPr>
            <w:tcW w:type="dxa" w:w="21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8,350,860</w:t>
            </w:r>
          </w:p>
        </w:tc>
        <w:tc>
          <w:tcPr>
            <w:tcW w:type="dxa" w:w="20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7,650,382</w:t>
            </w:r>
          </w:p>
        </w:tc>
        <w:tc>
          <w:tcPr>
            <w:tcW w:type="dxa" w:w="186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22.1</w:t>
            </w:r>
          </w:p>
        </w:tc>
      </w:tr>
      <w:tr>
        <w:tc>
          <w:tcPr>
            <w:tcW w:type="dxa" w:w="16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Apr 02 (Thu)</w:t>
            </w:r>
          </w:p>
        </w:tc>
        <w:tc>
          <w:tcPr>
            <w:tcW w:type="dxa" w:w="18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385,227</w:t>
            </w:r>
          </w:p>
        </w:tc>
        <w:tc>
          <w:tcPr>
            <w:tcW w:type="dxa" w:w="21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9,687,712</w:t>
            </w:r>
          </w:p>
        </w:tc>
        <w:tc>
          <w:tcPr>
            <w:tcW w:type="dxa" w:w="20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8,882,475</w:t>
            </w:r>
          </w:p>
        </w:tc>
        <w:tc>
          <w:tcPr>
            <w:tcW w:type="dxa" w:w="186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25.1</w:t>
            </w:r>
          </w:p>
        </w:tc>
      </w:tr>
      <w:tr>
        <w:tc>
          <w:tcPr>
            <w:tcW w:type="dxa" w:w="16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Apr 03 (Fri)</w:t>
            </w:r>
          </w:p>
        </w:tc>
        <w:tc>
          <w:tcPr>
            <w:tcW w:type="dxa" w:w="18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386,815</w:t>
            </w:r>
          </w:p>
        </w:tc>
        <w:tc>
          <w:tcPr>
            <w:tcW w:type="dxa" w:w="21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9,464,027</w:t>
            </w:r>
          </w:p>
        </w:tc>
        <w:tc>
          <w:tcPr>
            <w:tcW w:type="dxa" w:w="20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8,709,740</w:t>
            </w:r>
          </w:p>
        </w:tc>
        <w:tc>
          <w:tcPr>
            <w:tcW w:type="dxa" w:w="186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24.5</w:t>
            </w:r>
          </w:p>
        </w:tc>
      </w:tr>
      <w:tr>
        <w:tc>
          <w:tcPr>
            <w:tcW w:type="dxa" w:w="1600"/>
            <w:tcBorders>
              <w:top w:val="single" w:color="D0D0D0" w:sz="1"/>
              <w:left w:val="single" w:color="D0D0D0" w:sz="1"/>
              <w:bottom w:val="single" w:color="D0D0D0" w:sz="1"/>
              <w:right w:val="single" w:color="D0D0D0" w:sz="1"/>
            </w:tcBorders>
            <w:shd w:fill="FFE8EF" w:val="clear"/>
          </w:tcPr>
          <w:p>
            <w:pPr>
              <w:spacing w:after="60" w:before="60"/>
              <w:jc w:val="left"/>
            </w:pPr>
            <w:r>
              <w:rPr>
                <w:rFonts w:ascii="Arial" w:cs="Arial" w:eastAsia="Arial" w:hAnsi="Arial"/>
                <w:b/>
                <w:bCs/>
                <w:color w:val="2C3E50"/>
                <w:sz w:val="20"/>
                <w:szCs w:val="20"/>
              </w:rPr>
              <w:t xml:space="preserve">Apr 04 (Sat)</w:t>
            </w:r>
          </w:p>
        </w:tc>
        <w:tc>
          <w:tcPr>
            <w:tcW w:type="dxa" w:w="1800"/>
            <w:tcBorders>
              <w:top w:val="single" w:color="D0D0D0" w:sz="1"/>
              <w:left w:val="single" w:color="D0D0D0" w:sz="1"/>
              <w:bottom w:val="single" w:color="D0D0D0" w:sz="1"/>
              <w:right w:val="single" w:color="D0D0D0" w:sz="1"/>
            </w:tcBorders>
            <w:shd w:fill="FFE8EF" w:val="clear"/>
          </w:tcPr>
          <w:p>
            <w:pPr>
              <w:spacing w:after="60" w:before="60"/>
              <w:jc w:val="right"/>
            </w:pPr>
            <w:r>
              <w:rPr>
                <w:rFonts w:ascii="Arial" w:cs="Arial" w:eastAsia="Arial" w:hAnsi="Arial"/>
                <w:b/>
                <w:bCs/>
                <w:color w:val="2C3E50"/>
                <w:sz w:val="20"/>
                <w:szCs w:val="20"/>
              </w:rPr>
              <w:t xml:space="preserve">409,753</w:t>
            </w:r>
          </w:p>
        </w:tc>
        <w:tc>
          <w:tcPr>
            <w:tcW w:type="dxa" w:w="2100"/>
            <w:tcBorders>
              <w:top w:val="single" w:color="D0D0D0" w:sz="1"/>
              <w:left w:val="single" w:color="D0D0D0" w:sz="1"/>
              <w:bottom w:val="single" w:color="D0D0D0" w:sz="1"/>
              <w:right w:val="single" w:color="D0D0D0" w:sz="1"/>
            </w:tcBorders>
            <w:shd w:fill="FFE8EF" w:val="clear"/>
          </w:tcPr>
          <w:p>
            <w:pPr>
              <w:spacing w:after="60" w:before="60"/>
              <w:jc w:val="right"/>
            </w:pPr>
            <w:r>
              <w:rPr>
                <w:rFonts w:ascii="Arial" w:cs="Arial" w:eastAsia="Arial" w:hAnsi="Arial"/>
                <w:b w:val="false"/>
                <w:bCs w:val="false"/>
                <w:color w:val="2C3E50"/>
                <w:sz w:val="20"/>
                <w:szCs w:val="20"/>
              </w:rPr>
              <w:t xml:space="preserve">9,618,626</w:t>
            </w:r>
          </w:p>
        </w:tc>
        <w:tc>
          <w:tcPr>
            <w:tcW w:type="dxa" w:w="2000"/>
            <w:tcBorders>
              <w:top w:val="single" w:color="D0D0D0" w:sz="1"/>
              <w:left w:val="single" w:color="D0D0D0" w:sz="1"/>
              <w:bottom w:val="single" w:color="D0D0D0" w:sz="1"/>
              <w:right w:val="single" w:color="D0D0D0" w:sz="1"/>
            </w:tcBorders>
            <w:shd w:fill="FFE8EF" w:val="clear"/>
          </w:tcPr>
          <w:p>
            <w:pPr>
              <w:spacing w:after="60" w:before="60"/>
              <w:jc w:val="right"/>
            </w:pPr>
            <w:r>
              <w:rPr>
                <w:rFonts w:ascii="Arial" w:cs="Arial" w:eastAsia="Arial" w:hAnsi="Arial"/>
                <w:b w:val="false"/>
                <w:bCs w:val="false"/>
                <w:color w:val="2C3E50"/>
                <w:sz w:val="20"/>
                <w:szCs w:val="20"/>
              </w:rPr>
              <w:t xml:space="preserve">8,840,353</w:t>
            </w:r>
          </w:p>
        </w:tc>
        <w:tc>
          <w:tcPr>
            <w:tcW w:type="dxa" w:w="1860"/>
            <w:tcBorders>
              <w:top w:val="single" w:color="D0D0D0" w:sz="1"/>
              <w:left w:val="single" w:color="D0D0D0" w:sz="1"/>
              <w:bottom w:val="single" w:color="D0D0D0" w:sz="1"/>
              <w:right w:val="single" w:color="D0D0D0" w:sz="1"/>
            </w:tcBorders>
            <w:shd w:fill="FFE8EF" w:val="clear"/>
          </w:tcPr>
          <w:p>
            <w:pPr>
              <w:spacing w:after="60" w:before="60"/>
              <w:jc w:val="center"/>
            </w:pPr>
            <w:r>
              <w:rPr>
                <w:rFonts w:ascii="Arial" w:cs="Arial" w:eastAsia="Arial" w:hAnsi="Arial"/>
                <w:b/>
                <w:bCs/>
                <w:color w:val="2C3E50"/>
                <w:sz w:val="20"/>
                <w:szCs w:val="20"/>
              </w:rPr>
              <w:t xml:space="preserve">23.5</w:t>
            </w:r>
          </w:p>
        </w:tc>
      </w:tr>
      <w:tr>
        <w:tc>
          <w:tcPr>
            <w:tcW w:type="dxa" w:w="16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Apr 05 (Sun)</w:t>
            </w:r>
          </w:p>
        </w:tc>
        <w:tc>
          <w:tcPr>
            <w:tcW w:type="dxa" w:w="18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398,926</w:t>
            </w:r>
          </w:p>
        </w:tc>
        <w:tc>
          <w:tcPr>
            <w:tcW w:type="dxa" w:w="21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9,128,317</w:t>
            </w:r>
          </w:p>
        </w:tc>
        <w:tc>
          <w:tcPr>
            <w:tcW w:type="dxa" w:w="20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8,417,920</w:t>
            </w:r>
          </w:p>
        </w:tc>
        <w:tc>
          <w:tcPr>
            <w:tcW w:type="dxa" w:w="186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22.9</w:t>
            </w:r>
          </w:p>
        </w:tc>
      </w:tr>
      <w:tr>
        <w:tc>
          <w:tcPr>
            <w:tcW w:type="dxa" w:w="16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Apr 06 (Mon)*</w:t>
            </w:r>
          </w:p>
        </w:tc>
        <w:tc>
          <w:tcPr>
            <w:tcW w:type="dxa" w:w="18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84,836</w:t>
            </w:r>
          </w:p>
        </w:tc>
        <w:tc>
          <w:tcPr>
            <w:tcW w:type="dxa" w:w="21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1,408,114</w:t>
            </w:r>
          </w:p>
        </w:tc>
        <w:tc>
          <w:tcPr>
            <w:tcW w:type="dxa" w:w="20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1,270,282</w:t>
            </w:r>
          </w:p>
        </w:tc>
        <w:tc>
          <w:tcPr>
            <w:tcW w:type="dxa" w:w="186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16.6</w:t>
            </w:r>
          </w:p>
        </w:tc>
      </w:tr>
    </w:tbl>
    <w:p>
      <w:pPr>
        <w:pStyle w:val="Body"/>
      </w:pPr>
      <w:r>
        <w:t xml:space="preserve">*Apr 6 is partial data through approximately 7:28 AM UTC (12:58 PM IST).</w:t>
      </w:r>
    </w:p>
    <w:p>
      <w:pPr>
        <w:spacing w:after="0" w:before="120"/>
      </w:pPr>
      <w:r>
        <w:t xml:space="preserve"/>
      </w:r>
    </w:p>
    <w:p>
      <w:pPr>
        <w:pStyle w:val="SubHeading"/>
      </w:pPr>
      <w:r>
        <w:t xml:space="preserve">Key Findings</w:t>
      </w:r>
    </w:p>
    <w:p>
      <w:pPr>
        <w:pStyle w:val="ListParagraph"/>
        <w:numPr>
          <w:ilvl w:val="0"/>
          <w:numId w:val="2"/>
        </w:numPr>
      </w:pPr>
      <w:r>
        <w:rPr>
          <w:rFonts w:ascii="Arial" w:cs="Arial" w:eastAsia="Arial" w:hAnsi="Arial"/>
          <w:color w:val="2C3E50"/>
          <w:sz w:val="21"/>
          <w:szCs w:val="21"/>
        </w:rPr>
        <w:t xml:space="preserve">Daily 3s streamers range from 337K to 410K, with a clear weekday-to-weekend ramp — Saturday April 4 peaked at 409,753, the highest single day in the 7-day window.</w:t>
      </w:r>
    </w:p>
    <w:p>
      <w:pPr>
        <w:pStyle w:val="ListParagraph"/>
        <w:numPr>
          <w:ilvl w:val="0"/>
          <w:numId w:val="2"/>
        </w:numPr>
      </w:pPr>
      <w:r>
        <w:rPr>
          <w:rFonts w:ascii="Arial" w:cs="Arial" w:eastAsia="Arial" w:hAnsi="Arial"/>
          <w:color w:val="2C3E50"/>
          <w:sz w:val="21"/>
          <w:szCs w:val="21"/>
        </w:rPr>
        <w:t xml:space="preserve">Minutes Per Consumer (MPC) remains consistently strong at 22–25 minutes per day, reflecting genuine viewing depth rather than accidental or passive engagement.</w:t>
      </w:r>
    </w:p>
    <w:p>
      <w:pPr>
        <w:pStyle w:val="ListParagraph"/>
        <w:numPr>
          <w:ilvl w:val="0"/>
          <w:numId w:val="2"/>
        </w:numPr>
      </w:pPr>
      <w:r>
        <w:rPr>
          <w:rFonts w:ascii="Arial" w:cs="Arial" w:eastAsia="Arial" w:hAnsi="Arial"/>
          <w:color w:val="2C3E50"/>
          <w:sz w:val="21"/>
          <w:szCs w:val="21"/>
        </w:rPr>
        <w:t xml:space="preserve">Each streamer averages 21–23 streams per day — consistent with the Fatafat micro-drama format where individual episodes are 60–90 seconds and users swipe rapidly through content.</w:t>
      </w:r>
    </w:p>
    <w:p>
      <w:pPr>
        <w:pStyle w:val="ListParagraph"/>
        <w:numPr>
          <w:ilvl w:val="0"/>
          <w:numId w:val="2"/>
        </w:numPr>
      </w:pPr>
      <w:r>
        <w:rPr>
          <w:rFonts w:ascii="Arial" w:cs="Arial" w:eastAsia="Arial" w:hAnsi="Arial"/>
          <w:color w:val="2C3E50"/>
          <w:sz w:val="21"/>
          <w:szCs w:val="21"/>
        </w:rPr>
        <w:t xml:space="preserve">Thursday April 2 recorded the highest single-day MPC at 25.1 minutes, potentially indicating a strong content release or content recommendation event on that date.</w:t>
      </w:r>
    </w:p>
    <w:p>
      <w:pPr>
        <w:pStyle w:val="ListParagraph"/>
        <w:numPr>
          <w:ilvl w:val="0"/>
          <w:numId w:val="2"/>
        </w:numPr>
      </w:pPr>
      <w:r>
        <w:rPr>
          <w:rFonts w:ascii="Arial" w:cs="Arial" w:eastAsia="Arial" w:hAnsi="Arial"/>
          <w:color w:val="2C3E50"/>
          <w:sz w:val="21"/>
          <w:szCs w:val="21"/>
        </w:rPr>
        <w:t xml:space="preserve">Total streams (8M+ per day) consistently exceed unique streamers by ~20x, confirming the high-velocity consumption behavior inherent to the micro-drama vertical.</w:t>
      </w:r>
    </w:p>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6"/>
              <w:left w:val="single" w:color="00897B" w:sz="14"/>
              <w:bottom w:val="single" w:color="DDDDDD" w:sz="2"/>
              <w:right w:val="single" w:color="DDDDDD" w:sz="1"/>
            </w:tcBorders>
            <w:shd w:fill="EEF6F4" w:val="clear"/>
          </w:tcPr>
          <w:p>
            <w:pPr>
              <w:spacing w:after="60" w:before="100"/>
            </w:pPr>
            <w:r>
              <w:rPr>
                <w:rFonts w:ascii="Arial" w:cs="Arial" w:eastAsia="Arial" w:hAnsi="Arial"/>
                <w:b/>
                <w:bCs/>
                <w:caps/>
                <w:color w:val="00897B"/>
                <w:sz w:val="19"/>
                <w:szCs w:val="19"/>
              </w:rPr>
              <w:t xml:space="preserve">PERSONA IMPLICATION</w:t>
            </w:r>
          </w:p>
          <w:p>
            <w:pPr>
              <w:spacing w:after="100" w:before="40"/>
            </w:pPr>
            <w:r>
              <w:rPr>
                <w:rFonts w:ascii="Arial" w:cs="Arial" w:eastAsia="Arial" w:hAnsi="Arial"/>
                <w:color w:val="333333"/>
                <w:sz w:val="21"/>
                <w:szCs w:val="21"/>
              </w:rPr>
              <w:t xml:space="preserve">The 22–25 min MPC baseline establishes the engagement benchmark for all six personas. Personas that consistently exceed 30+ min MPC represent the "Binge/Loyal" tier, while those below 12 min represent the "Discovery/Sampler" tier.</w:t>
            </w:r>
          </w:p>
        </w:tc>
      </w:tr>
    </w:tbl>
    <w:p>
      <w:pPr>
        <w:spacing w:after="0" w:before="200"/>
      </w:pPr>
      <w:r>
        <w:t xml:space="preserve"/>
      </w:r>
    </w:p>
    <w:p>
      <w:r>
        <w:br w:type="page"/>
      </w:r>
    </w:p>
    <w:p>
      <w:pPr>
        <w:pStyle w:val="SectionHeading"/>
      </w:pPr>
      <w:r>
        <w:t xml:space="preserve">Query 2 — Demographics Breakdown</w:t>
      </w:r>
    </w:p>
    <w:p>
      <w:pPr>
        <w:pStyle w:val="Body"/>
      </w:pPr>
      <w:r>
        <w:t xml:space="preserve">Source: mxp_age_gender_details_table_v3 joined to Fatafat 3s streamers | Date: April 5, 2026</w:t>
      </w:r>
    </w:p>
    <w:p>
      <w:pPr>
        <w:pStyle w:val="Body"/>
      </w:pPr>
      <w:r>
        <w:t xml:space="preserve">The demographics query joins the Fatafat 3-second streamer cohort with the unified age/gender recognition table, which combines ML-predicted, Amazon, and MX-sourced signals for 228 million users. The 95% match rate — 378,471 out of approximately 399K streamers — provides a highly reliable demographic overlay for persona construction.</w:t>
      </w:r>
    </w:p>
    <w:p>
      <w:pPr>
        <w:spacing w:after="0" w:before="80"/>
      </w:pPr>
      <w:r>
        <w:t xml:space="preserve"/>
      </w:r>
    </w:p>
    <w:p>
      <w:pPr>
        <w:spacing w:after="60" w:before="120"/>
        <w:jc w:val="center"/>
      </w:pPr>
      <w:r>
        <w:drawing>
          <wp:inline distT="0" distB="0" distL="0" distR="0">
            <wp:extent cx="5524500" cy="3105150"/>
            <wp:effectExtent t="0" r="0" b="0" l="0"/>
            <wp:docPr id="1" name="chart2_demographics.png" descr="chart2_demographics.png" title="chart2_demograph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pStyle w:val="Caption"/>
      </w:pPr>
      <w:r>
        <w:rPr>
          <w:i/>
          <w:iCs/>
          <w:color w:val="666666"/>
          <w:sz w:val="18"/>
          <w:szCs w:val="18"/>
        </w:rPr>
        <w:t xml:space="preserve">Figure 2.1: Audience Demographics — Age Group × Gender Distribution, April 5, 2026</w:t>
      </w:r>
    </w:p>
    <w:p>
      <w:pPr>
        <w:spacing w:after="0" w:before="80"/>
      </w:pPr>
      <w:r>
        <w:t xml:space="preserve"/>
      </w:r>
    </w:p>
    <w:p>
      <w:pPr>
        <w:pStyle w:val="SubHeading"/>
      </w:pPr>
      <w:r>
        <w:t xml:space="preserve">Data Table — Age × Gender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1560"/>
        <w:gridCol w:w="1680"/>
        <w:gridCol w:w="1560"/>
        <w:gridCol w:w="1600"/>
      </w:tblGrid>
      <w:tr>
        <w:trPr>
          <w:tblHeader/>
        </w:trPr>
        <w:tc>
          <w:tcPr>
            <w:tcW w:type="dxa" w:w="14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Age Group</w:t>
            </w:r>
          </w:p>
        </w:tc>
        <w:tc>
          <w:tcPr>
            <w:tcW w:type="dxa" w:w="15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Female</w:t>
            </w:r>
          </w:p>
        </w:tc>
        <w:tc>
          <w:tcPr>
            <w:tcW w:type="dxa" w:w="15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Male</w:t>
            </w:r>
          </w:p>
        </w:tc>
        <w:tc>
          <w:tcPr>
            <w:tcW w:type="dxa" w:w="168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Total</w:t>
            </w:r>
          </w:p>
        </w:tc>
        <w:tc>
          <w:tcPr>
            <w:tcW w:type="dxa" w:w="15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 of Total</w:t>
            </w:r>
          </w:p>
        </w:tc>
        <w:tc>
          <w:tcPr>
            <w:tcW w:type="dxa" w:w="16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Gender Split</w:t>
            </w:r>
          </w:p>
        </w:tc>
      </w:tr>
      <w:tr>
        <w:tc>
          <w:tcPr>
            <w:tcW w:type="dxa" w:w="14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18–24</w:t>
            </w:r>
          </w:p>
        </w:tc>
        <w:tc>
          <w:tcPr>
            <w:tcW w:type="dxa" w:w="156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C2185B"/>
                <w:sz w:val="20"/>
                <w:szCs w:val="20"/>
              </w:rPr>
              <w:t xml:space="preserve">108,137</w:t>
            </w:r>
          </w:p>
        </w:tc>
        <w:tc>
          <w:tcPr>
            <w:tcW w:type="dxa" w:w="156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55,383</w:t>
            </w:r>
          </w:p>
        </w:tc>
        <w:tc>
          <w:tcPr>
            <w:tcW w:type="dxa" w:w="168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163,520</w:t>
            </w:r>
          </w:p>
        </w:tc>
        <w:tc>
          <w:tcPr>
            <w:tcW w:type="dxa" w:w="156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43.1%</w:t>
            </w:r>
          </w:p>
        </w:tc>
        <w:tc>
          <w:tcPr>
            <w:tcW w:type="dxa" w:w="16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555555"/>
                <w:sz w:val="20"/>
                <w:szCs w:val="20"/>
              </w:rPr>
              <w:t xml:space="preserve">66% F / 34% M</w:t>
            </w:r>
          </w:p>
        </w:tc>
      </w:tr>
      <w:tr>
        <w:tc>
          <w:tcPr>
            <w:tcW w:type="dxa" w:w="14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25–34</w:t>
            </w:r>
          </w:p>
        </w:tc>
        <w:tc>
          <w:tcPr>
            <w:tcW w:type="dxa" w:w="156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51,843</w:t>
            </w:r>
          </w:p>
        </w:tc>
        <w:tc>
          <w:tcPr>
            <w:tcW w:type="dxa" w:w="156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1565C0"/>
                <w:sz w:val="20"/>
                <w:szCs w:val="20"/>
              </w:rPr>
              <w:t xml:space="preserve">83,238</w:t>
            </w:r>
          </w:p>
        </w:tc>
        <w:tc>
          <w:tcPr>
            <w:tcW w:type="dxa" w:w="168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135,081</w:t>
            </w:r>
          </w:p>
        </w:tc>
        <w:tc>
          <w:tcPr>
            <w:tcW w:type="dxa" w:w="156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35.6%</w:t>
            </w:r>
          </w:p>
        </w:tc>
        <w:tc>
          <w:tcPr>
            <w:tcW w:type="dxa" w:w="16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555555"/>
                <w:sz w:val="20"/>
                <w:szCs w:val="20"/>
              </w:rPr>
              <w:t xml:space="preserve">38% F / 62% M</w:t>
            </w:r>
          </w:p>
        </w:tc>
      </w:tr>
      <w:tr>
        <w:tc>
          <w:tcPr>
            <w:tcW w:type="dxa" w:w="14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35–44</w:t>
            </w:r>
          </w:p>
        </w:tc>
        <w:tc>
          <w:tcPr>
            <w:tcW w:type="dxa" w:w="156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22,812</w:t>
            </w:r>
          </w:p>
        </w:tc>
        <w:tc>
          <w:tcPr>
            <w:tcW w:type="dxa" w:w="156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29,265</w:t>
            </w:r>
          </w:p>
        </w:tc>
        <w:tc>
          <w:tcPr>
            <w:tcW w:type="dxa" w:w="168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52,077</w:t>
            </w:r>
          </w:p>
        </w:tc>
        <w:tc>
          <w:tcPr>
            <w:tcW w:type="dxa" w:w="156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13.7%</w:t>
            </w:r>
          </w:p>
        </w:tc>
        <w:tc>
          <w:tcPr>
            <w:tcW w:type="dxa" w:w="16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555555"/>
                <w:sz w:val="20"/>
                <w:szCs w:val="20"/>
              </w:rPr>
              <w:t xml:space="preserve">44% F / 56% M</w:t>
            </w:r>
          </w:p>
        </w:tc>
      </w:tr>
      <w:tr>
        <w:tc>
          <w:tcPr>
            <w:tcW w:type="dxa" w:w="14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45–54</w:t>
            </w:r>
          </w:p>
        </w:tc>
        <w:tc>
          <w:tcPr>
            <w:tcW w:type="dxa" w:w="156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13,475</w:t>
            </w:r>
          </w:p>
        </w:tc>
        <w:tc>
          <w:tcPr>
            <w:tcW w:type="dxa" w:w="156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11,625</w:t>
            </w:r>
          </w:p>
        </w:tc>
        <w:tc>
          <w:tcPr>
            <w:tcW w:type="dxa" w:w="168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25,100</w:t>
            </w:r>
          </w:p>
        </w:tc>
        <w:tc>
          <w:tcPr>
            <w:tcW w:type="dxa" w:w="156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6.6%</w:t>
            </w:r>
          </w:p>
        </w:tc>
        <w:tc>
          <w:tcPr>
            <w:tcW w:type="dxa" w:w="16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555555"/>
                <w:sz w:val="20"/>
                <w:szCs w:val="20"/>
              </w:rPr>
              <w:t xml:space="preserve">54% F / 46% M</w:t>
            </w:r>
          </w:p>
        </w:tc>
      </w:tr>
      <w:tr>
        <w:tc>
          <w:tcPr>
            <w:tcW w:type="dxa" w:w="14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55–64</w:t>
            </w:r>
          </w:p>
        </w:tc>
        <w:tc>
          <w:tcPr>
            <w:tcW w:type="dxa" w:w="156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1,431</w:t>
            </w:r>
          </w:p>
        </w:tc>
        <w:tc>
          <w:tcPr>
            <w:tcW w:type="dxa" w:w="156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1,262</w:t>
            </w:r>
          </w:p>
        </w:tc>
        <w:tc>
          <w:tcPr>
            <w:tcW w:type="dxa" w:w="168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2,693</w:t>
            </w:r>
          </w:p>
        </w:tc>
        <w:tc>
          <w:tcPr>
            <w:tcW w:type="dxa" w:w="156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0.7%</w:t>
            </w:r>
          </w:p>
        </w:tc>
        <w:tc>
          <w:tcPr>
            <w:tcW w:type="dxa" w:w="16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555555"/>
                <w:sz w:val="20"/>
                <w:szCs w:val="20"/>
              </w:rPr>
              <w:t xml:space="preserve">53% F / 47% M</w:t>
            </w:r>
          </w:p>
        </w:tc>
      </w:tr>
      <w:tr>
        <w:tc>
          <w:tcPr>
            <w:tcW w:type="dxa" w:w="1400"/>
            <w:tcBorders>
              <w:top w:val="single" w:color="D0D0D0" w:sz="1"/>
              <w:left w:val="single" w:color="D0D0D0" w:sz="1"/>
              <w:bottom w:val="single" w:color="D0D0D0" w:sz="1"/>
              <w:right w:val="single" w:color="D0D0D0" w:sz="1"/>
            </w:tcBorders>
            <w:shd w:fill="F3E5F5" w:val="clear"/>
          </w:tcPr>
          <w:p>
            <w:pPr>
              <w:spacing w:after="60" w:before="60"/>
              <w:jc w:val="left"/>
            </w:pPr>
            <w:r>
              <w:rPr>
                <w:rFonts w:ascii="Arial" w:cs="Arial" w:eastAsia="Arial" w:hAnsi="Arial"/>
                <w:b/>
                <w:bCs/>
                <w:color w:val="2C3E50"/>
                <w:sz w:val="20"/>
                <w:szCs w:val="20"/>
              </w:rPr>
              <w:t xml:space="preserve">TOTAL</w:t>
            </w:r>
          </w:p>
        </w:tc>
        <w:tc>
          <w:tcPr>
            <w:tcW w:type="dxa" w:w="1560"/>
            <w:tcBorders>
              <w:top w:val="single" w:color="D0D0D0" w:sz="1"/>
              <w:left w:val="single" w:color="D0D0D0" w:sz="1"/>
              <w:bottom w:val="single" w:color="D0D0D0" w:sz="1"/>
              <w:right w:val="single" w:color="D0D0D0" w:sz="1"/>
            </w:tcBorders>
            <w:shd w:fill="F3E5F5" w:val="clear"/>
          </w:tcPr>
          <w:p>
            <w:pPr>
              <w:spacing w:after="60" w:before="60"/>
              <w:jc w:val="right"/>
            </w:pPr>
            <w:r>
              <w:rPr>
                <w:rFonts w:ascii="Arial" w:cs="Arial" w:eastAsia="Arial" w:hAnsi="Arial"/>
                <w:b/>
                <w:bCs/>
                <w:color w:val="2C3E50"/>
                <w:sz w:val="20"/>
                <w:szCs w:val="20"/>
              </w:rPr>
              <w:t xml:space="preserve">197,698</w:t>
            </w:r>
          </w:p>
        </w:tc>
        <w:tc>
          <w:tcPr>
            <w:tcW w:type="dxa" w:w="1560"/>
            <w:tcBorders>
              <w:top w:val="single" w:color="D0D0D0" w:sz="1"/>
              <w:left w:val="single" w:color="D0D0D0" w:sz="1"/>
              <w:bottom w:val="single" w:color="D0D0D0" w:sz="1"/>
              <w:right w:val="single" w:color="D0D0D0" w:sz="1"/>
            </w:tcBorders>
            <w:shd w:fill="F3E5F5" w:val="clear"/>
          </w:tcPr>
          <w:p>
            <w:pPr>
              <w:spacing w:after="60" w:before="60"/>
              <w:jc w:val="right"/>
            </w:pPr>
            <w:r>
              <w:rPr>
                <w:rFonts w:ascii="Arial" w:cs="Arial" w:eastAsia="Arial" w:hAnsi="Arial"/>
                <w:b/>
                <w:bCs/>
                <w:color w:val="2C3E50"/>
                <w:sz w:val="20"/>
                <w:szCs w:val="20"/>
              </w:rPr>
              <w:t xml:space="preserve">180,773</w:t>
            </w:r>
          </w:p>
        </w:tc>
        <w:tc>
          <w:tcPr>
            <w:tcW w:type="dxa" w:w="1680"/>
            <w:tcBorders>
              <w:top w:val="single" w:color="D0D0D0" w:sz="1"/>
              <w:left w:val="single" w:color="D0D0D0" w:sz="1"/>
              <w:bottom w:val="single" w:color="D0D0D0" w:sz="1"/>
              <w:right w:val="single" w:color="D0D0D0" w:sz="1"/>
            </w:tcBorders>
            <w:shd w:fill="F3E5F5" w:val="clear"/>
          </w:tcPr>
          <w:p>
            <w:pPr>
              <w:spacing w:after="60" w:before="60"/>
              <w:jc w:val="right"/>
            </w:pPr>
            <w:r>
              <w:rPr>
                <w:rFonts w:ascii="Arial" w:cs="Arial" w:eastAsia="Arial" w:hAnsi="Arial"/>
                <w:b/>
                <w:bCs/>
                <w:color w:val="2C3E50"/>
                <w:sz w:val="20"/>
                <w:szCs w:val="20"/>
              </w:rPr>
              <w:t xml:space="preserve">378,471</w:t>
            </w:r>
          </w:p>
        </w:tc>
        <w:tc>
          <w:tcPr>
            <w:tcW w:type="dxa" w:w="1560"/>
            <w:tcBorders>
              <w:top w:val="single" w:color="D0D0D0" w:sz="1"/>
              <w:left w:val="single" w:color="D0D0D0" w:sz="1"/>
              <w:bottom w:val="single" w:color="D0D0D0" w:sz="1"/>
              <w:right w:val="single" w:color="D0D0D0" w:sz="1"/>
            </w:tcBorders>
            <w:shd w:fill="F3E5F5" w:val="clear"/>
          </w:tcPr>
          <w:p>
            <w:pPr>
              <w:spacing w:after="60" w:before="60"/>
              <w:jc w:val="center"/>
            </w:pPr>
            <w:r>
              <w:rPr>
                <w:rFonts w:ascii="Arial" w:cs="Arial" w:eastAsia="Arial" w:hAnsi="Arial"/>
                <w:b/>
                <w:bCs/>
                <w:color w:val="2C3E50"/>
                <w:sz w:val="20"/>
                <w:szCs w:val="20"/>
              </w:rPr>
              <w:t xml:space="preserve">100%</w:t>
            </w:r>
          </w:p>
        </w:tc>
        <w:tc>
          <w:tcPr>
            <w:tcW w:type="dxa" w:w="1600"/>
            <w:tcBorders>
              <w:top w:val="single" w:color="D0D0D0" w:sz="1"/>
              <w:left w:val="single" w:color="D0D0D0" w:sz="1"/>
              <w:bottom w:val="single" w:color="D0D0D0" w:sz="1"/>
              <w:right w:val="single" w:color="D0D0D0" w:sz="1"/>
            </w:tcBorders>
            <w:shd w:fill="F3E5F5" w:val="clear"/>
          </w:tcPr>
          <w:p>
            <w:pPr>
              <w:spacing w:after="60" w:before="60"/>
              <w:jc w:val="center"/>
            </w:pPr>
            <w:r>
              <w:rPr>
                <w:rFonts w:ascii="Arial" w:cs="Arial" w:eastAsia="Arial" w:hAnsi="Arial"/>
                <w:b w:val="false"/>
                <w:bCs w:val="false"/>
                <w:color w:val="555555"/>
                <w:sz w:val="20"/>
                <w:szCs w:val="20"/>
              </w:rPr>
              <w:t xml:space="preserve">52.2% F / 47.8% M</w:t>
            </w:r>
          </w:p>
        </w:tc>
      </w:tr>
    </w:tbl>
    <w:p>
      <w:pPr>
        <w:spacing w:after="0" w:before="120"/>
      </w:pPr>
      <w:r>
        <w:t xml:space="preserve"/>
      </w:r>
    </w:p>
    <w:p>
      <w:pPr>
        <w:pStyle w:val="SubHeading"/>
      </w:pPr>
      <w:r>
        <w:t xml:space="preserve">Key Findings</w:t>
      </w:r>
    </w:p>
    <w:p>
      <w:pPr>
        <w:pStyle w:val="ListParagraph"/>
        <w:numPr>
          <w:ilvl w:val="0"/>
          <w:numId w:val="2"/>
        </w:numPr>
      </w:pPr>
      <w:r>
        <w:rPr>
          <w:rFonts w:ascii="Arial" w:cs="Arial" w:eastAsia="Arial" w:hAnsi="Arial"/>
          <w:color w:val="2C3E50"/>
          <w:sz w:val="21"/>
          <w:szCs w:val="21"/>
        </w:rPr>
        <w:t xml:space="preserve">Female 18–24 is the dominant demographic cell at 108,137 users (28.6% of all matched streamers) — the single largest age-gender group on the platform. This cell is the primary anchor for the "Young Female Romance Binger" persona hypothesis.</w:t>
      </w:r>
    </w:p>
    <w:p>
      <w:pPr>
        <w:pStyle w:val="ListParagraph"/>
        <w:numPr>
          <w:ilvl w:val="0"/>
          <w:numId w:val="2"/>
        </w:numPr>
      </w:pPr>
      <w:r>
        <w:rPr>
          <w:rFonts w:ascii="Arial" w:cs="Arial" w:eastAsia="Arial" w:hAnsi="Arial"/>
          <w:color w:val="2C3E50"/>
          <w:sz w:val="21"/>
          <w:szCs w:val="21"/>
        </w:rPr>
        <w:t xml:space="preserve">The overall gender split is nearly even (52.2% Female vs 47.8% Male), but this masks a sharp age-driven reversal: the 18–24 cohort is 66% female while the 25–34 cohort is 62% male — a structural split that is critical for persona differentiation.</w:t>
      </w:r>
    </w:p>
    <w:p>
      <w:pPr>
        <w:pStyle w:val="ListParagraph"/>
        <w:numPr>
          <w:ilvl w:val="0"/>
          <w:numId w:val="2"/>
        </w:numPr>
      </w:pPr>
      <w:r>
        <w:rPr>
          <w:rFonts w:ascii="Arial" w:cs="Arial" w:eastAsia="Arial" w:hAnsi="Arial"/>
          <w:color w:val="2C3E50"/>
          <w:sz w:val="21"/>
          <w:szCs w:val="21"/>
        </w:rPr>
        <w:t xml:space="preserve">78.7% of Fatafat streamers are under 35, establishing this as a fundamentally young platform. Content skewed toward younger demographic preferences will reach the majority of the active audience.</w:t>
      </w:r>
    </w:p>
    <w:p>
      <w:pPr>
        <w:pStyle w:val="ListParagraph"/>
        <w:numPr>
          <w:ilvl w:val="0"/>
          <w:numId w:val="2"/>
        </w:numPr>
      </w:pPr>
      <w:r>
        <w:rPr>
          <w:rFonts w:ascii="Arial" w:cs="Arial" w:eastAsia="Arial" w:hAnsi="Arial"/>
          <w:color w:val="2C3E50"/>
          <w:sz w:val="21"/>
          <w:szCs w:val="21"/>
        </w:rPr>
        <w:t xml:space="preserve">The 35+ audience (20.3% of total, approximately 77K streamers) is a meaningful secondary segment that should not be collapsed into a single persona — the 35–44 cohort alone represents 52K streamers.</w:t>
      </w:r>
    </w:p>
    <w:p>
      <w:pPr>
        <w:pStyle w:val="ListParagraph"/>
        <w:numPr>
          <w:ilvl w:val="0"/>
          <w:numId w:val="2"/>
        </w:numPr>
      </w:pPr>
      <w:r>
        <w:rPr>
          <w:rFonts w:ascii="Arial" w:cs="Arial" w:eastAsia="Arial" w:hAnsi="Arial"/>
          <w:color w:val="2C3E50"/>
          <w:sz w:val="21"/>
          <w:szCs w:val="21"/>
        </w:rPr>
        <w:t xml:space="preserve">95% demographic match rate is excellent for persona construction — virtually the entire active audience can be overlaid with age/gender signals, eliminating the cold-start problem for demographic segmentation.</w:t>
      </w:r>
    </w:p>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6"/>
              <w:left w:val="single" w:color="00897B" w:sz="14"/>
              <w:bottom w:val="single" w:color="DDDDDD" w:sz="2"/>
              <w:right w:val="single" w:color="DDDDDD" w:sz="1"/>
            </w:tcBorders>
            <w:shd w:fill="EEF6F4" w:val="clear"/>
          </w:tcPr>
          <w:p>
            <w:pPr>
              <w:spacing w:after="60" w:before="100"/>
            </w:pPr>
            <w:r>
              <w:rPr>
                <w:rFonts w:ascii="Arial" w:cs="Arial" w:eastAsia="Arial" w:hAnsi="Arial"/>
                <w:b/>
                <w:bCs/>
                <w:caps/>
                <w:color w:val="00897B"/>
                <w:sz w:val="19"/>
                <w:szCs w:val="19"/>
              </w:rPr>
              <w:t xml:space="preserve">PERSONA ANCHOR</w:t>
            </w:r>
          </w:p>
          <w:p>
            <w:pPr>
              <w:spacing w:after="100" w:before="40"/>
            </w:pPr>
            <w:r>
              <w:rPr>
                <w:rFonts w:ascii="Arial" w:cs="Arial" w:eastAsia="Arial" w:hAnsi="Arial"/>
                <w:color w:val="333333"/>
                <w:sz w:val="21"/>
                <w:szCs w:val="21"/>
              </w:rPr>
              <w:t xml:space="preserve">The gender flip between 18-24 (66% F) and 25-34 (62% M) suggests these two cohorts require separate persona frameworks rather than being merged into a generic "young adult" segment. Their content preferences, as confirmed by Query 8, are measurably different.</w:t>
            </w:r>
          </w:p>
        </w:tc>
      </w:tr>
    </w:tbl>
    <w:p>
      <w:pPr>
        <w:spacing w:after="0" w:before="200"/>
      </w:pPr>
      <w:r>
        <w:t xml:space="preserve"/>
      </w:r>
    </w:p>
    <w:p>
      <w:r>
        <w:br w:type="page"/>
      </w:r>
    </w:p>
    <w:p>
      <w:pPr>
        <w:pStyle w:val="SectionHeading"/>
      </w:pPr>
      <w:r>
        <w:t xml:space="preserve">Query 3 — Interest / Persona Segments</w:t>
      </w:r>
    </w:p>
    <w:p>
      <w:pPr>
        <w:pStyle w:val="Body"/>
      </w:pPr>
      <w:r>
        <w:t xml:space="preserve">Source: mxp_persona_details_table_v3 (ML source) joined to Fatafat 3s streamers | Date: April 5, 2026</w:t>
      </w:r>
    </w:p>
    <w:p>
      <w:pPr>
        <w:pStyle w:val="Body"/>
      </w:pPr>
      <w:r>
        <w:t xml:space="preserve">The interest segmentation query joins the Fatafat streamer cohort with the ML-sourced persona tag table, which contains over 181 million users and assigns each user to multiple interest categories based on browsing, purchase, and behavioral signals. The Amazon source (54 million users) is available for supplementary analysis.</w:t>
      </w:r>
    </w:p>
    <w:p>
      <w:pPr>
        <w:spacing w:after="0" w:before="80"/>
      </w:pPr>
      <w:r>
        <w:t xml:space="preserve"/>
      </w:r>
    </w:p>
    <w:p>
      <w:pPr>
        <w:pStyle w:val="SubHeading"/>
      </w:pPr>
      <w:r>
        <w:t xml:space="preserve">Data Table — Top 20 ML Interest Segments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80"/>
        <w:gridCol w:w="1980"/>
        <w:gridCol w:w="1800"/>
      </w:tblGrid>
      <w:tr>
        <w:trPr>
          <w:tblHeader/>
        </w:trPr>
        <w:tc>
          <w:tcPr>
            <w:tcW w:type="dxa" w:w="558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Interest / Persona Segment</w:t>
            </w:r>
          </w:p>
        </w:tc>
        <w:tc>
          <w:tcPr>
            <w:tcW w:type="dxa" w:w="198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Matched Users</w:t>
            </w:r>
          </w:p>
        </w:tc>
        <w:tc>
          <w:tcPr>
            <w:tcW w:type="dxa" w:w="18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 of Streamers</w:t>
            </w:r>
          </w:p>
        </w:tc>
      </w:tr>
      <w:tr>
        <w:tc>
          <w:tcPr>
            <w:tcW w:type="dxa" w:w="558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Demo - Amazon Reach</w:t>
            </w:r>
          </w:p>
        </w:tc>
        <w:tc>
          <w:tcPr>
            <w:tcW w:type="dxa" w:w="198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302,293</w:t>
            </w:r>
          </w:p>
        </w:tc>
        <w:tc>
          <w:tcPr>
            <w:tcW w:type="dxa" w:w="18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75.8%</w:t>
            </w:r>
          </w:p>
        </w:tc>
      </w:tr>
      <w:tr>
        <w:tc>
          <w:tcPr>
            <w:tcW w:type="dxa" w:w="558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Fashion or Computers or Electronics</w:t>
            </w:r>
          </w:p>
        </w:tc>
        <w:tc>
          <w:tcPr>
            <w:tcW w:type="dxa" w:w="198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294,634</w:t>
            </w:r>
          </w:p>
        </w:tc>
        <w:tc>
          <w:tcPr>
            <w:tcW w:type="dxa" w:w="18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73.8%</w:t>
            </w:r>
          </w:p>
        </w:tc>
      </w:tr>
      <w:tr>
        <w:tc>
          <w:tcPr>
            <w:tcW w:type="dxa" w:w="558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IM - Home Proud - Appliances Electronics &amp; Hardware</w:t>
            </w:r>
          </w:p>
        </w:tc>
        <w:tc>
          <w:tcPr>
            <w:tcW w:type="dxa" w:w="198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293,426</w:t>
            </w:r>
          </w:p>
        </w:tc>
        <w:tc>
          <w:tcPr>
            <w:tcW w:type="dxa" w:w="18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73.5%</w:t>
            </w:r>
          </w:p>
        </w:tc>
      </w:tr>
      <w:tr>
        <w:tc>
          <w:tcPr>
            <w:tcW w:type="dxa" w:w="558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IM - Fashion</w:t>
            </w:r>
          </w:p>
        </w:tc>
        <w:tc>
          <w:tcPr>
            <w:tcW w:type="dxa" w:w="198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293,311</w:t>
            </w:r>
          </w:p>
        </w:tc>
        <w:tc>
          <w:tcPr>
            <w:tcW w:type="dxa" w:w="18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73.5%</w:t>
            </w:r>
          </w:p>
        </w:tc>
      </w:tr>
      <w:tr>
        <w:tc>
          <w:tcPr>
            <w:tcW w:type="dxa" w:w="558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Jewelry or Wedding Clothing or Fashion</w:t>
            </w:r>
          </w:p>
        </w:tc>
        <w:tc>
          <w:tcPr>
            <w:tcW w:type="dxa" w:w="198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292,623</w:t>
            </w:r>
          </w:p>
        </w:tc>
        <w:tc>
          <w:tcPr>
            <w:tcW w:type="dxa" w:w="18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73.3%</w:t>
            </w:r>
          </w:p>
        </w:tc>
      </w:tr>
      <w:tr>
        <w:tc>
          <w:tcPr>
            <w:tcW w:type="dxa" w:w="558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IM - Electronics</w:t>
            </w:r>
          </w:p>
        </w:tc>
        <w:tc>
          <w:tcPr>
            <w:tcW w:type="dxa" w:w="198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290,527</w:t>
            </w:r>
          </w:p>
        </w:tc>
        <w:tc>
          <w:tcPr>
            <w:tcW w:type="dxa" w:w="18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72.8%</w:t>
            </w:r>
          </w:p>
        </w:tc>
      </w:tr>
      <w:tr>
        <w:tc>
          <w:tcPr>
            <w:tcW w:type="dxa" w:w="558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IM - Home &amp; Kitchen</w:t>
            </w:r>
          </w:p>
        </w:tc>
        <w:tc>
          <w:tcPr>
            <w:tcW w:type="dxa" w:w="198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289,561</w:t>
            </w:r>
          </w:p>
        </w:tc>
        <w:tc>
          <w:tcPr>
            <w:tcW w:type="dxa" w:w="18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72.6%</w:t>
            </w:r>
          </w:p>
        </w:tc>
      </w:tr>
      <w:tr>
        <w:tc>
          <w:tcPr>
            <w:tcW w:type="dxa" w:w="558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Watches or Computers or Electronics</w:t>
            </w:r>
          </w:p>
        </w:tc>
        <w:tc>
          <w:tcPr>
            <w:tcW w:type="dxa" w:w="198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289,160</w:t>
            </w:r>
          </w:p>
        </w:tc>
        <w:tc>
          <w:tcPr>
            <w:tcW w:type="dxa" w:w="18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72.5%</w:t>
            </w:r>
          </w:p>
        </w:tc>
      </w:tr>
      <w:tr>
        <w:tc>
          <w:tcPr>
            <w:tcW w:type="dxa" w:w="558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IM - Fitness Nutrition and Health Care</w:t>
            </w:r>
          </w:p>
        </w:tc>
        <w:tc>
          <w:tcPr>
            <w:tcW w:type="dxa" w:w="198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287,845</w:t>
            </w:r>
          </w:p>
        </w:tc>
        <w:tc>
          <w:tcPr>
            <w:tcW w:type="dxa" w:w="18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72.1%</w:t>
            </w:r>
          </w:p>
        </w:tc>
      </w:tr>
      <w:tr>
        <w:tc>
          <w:tcPr>
            <w:tcW w:type="dxa" w:w="558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Automotive or Electronics</w:t>
            </w:r>
          </w:p>
        </w:tc>
        <w:tc>
          <w:tcPr>
            <w:tcW w:type="dxa" w:w="198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287,613</w:t>
            </w:r>
          </w:p>
        </w:tc>
        <w:tc>
          <w:tcPr>
            <w:tcW w:type="dxa" w:w="18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72.1%</w:t>
            </w:r>
          </w:p>
        </w:tc>
      </w:tr>
      <w:tr>
        <w:tc>
          <w:tcPr>
            <w:tcW w:type="dxa" w:w="558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IM - Beauty Enthusiasts</w:t>
            </w:r>
          </w:p>
        </w:tc>
        <w:tc>
          <w:tcPr>
            <w:tcW w:type="dxa" w:w="198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287,359</w:t>
            </w:r>
          </w:p>
        </w:tc>
        <w:tc>
          <w:tcPr>
            <w:tcW w:type="dxa" w:w="18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72.0%</w:t>
            </w:r>
          </w:p>
        </w:tc>
      </w:tr>
      <w:tr>
        <w:tc>
          <w:tcPr>
            <w:tcW w:type="dxa" w:w="558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LS - Womens Grooming</w:t>
            </w:r>
          </w:p>
        </w:tc>
        <w:tc>
          <w:tcPr>
            <w:tcW w:type="dxa" w:w="198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286,301</w:t>
            </w:r>
          </w:p>
        </w:tc>
        <w:tc>
          <w:tcPr>
            <w:tcW w:type="dxa" w:w="18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71.8%</w:t>
            </w:r>
          </w:p>
        </w:tc>
      </w:tr>
      <w:tr>
        <w:tc>
          <w:tcPr>
            <w:tcW w:type="dxa" w:w="558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IM - Clothing &amp; Accessories</w:t>
            </w:r>
          </w:p>
        </w:tc>
        <w:tc>
          <w:tcPr>
            <w:tcW w:type="dxa" w:w="198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286,064</w:t>
            </w:r>
          </w:p>
        </w:tc>
        <w:tc>
          <w:tcPr>
            <w:tcW w:type="dxa" w:w="18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71.7%</w:t>
            </w:r>
          </w:p>
        </w:tc>
      </w:tr>
      <w:tr>
        <w:tc>
          <w:tcPr>
            <w:tcW w:type="dxa" w:w="558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LS - Premium Electronics and Tech Enthusiasts</w:t>
            </w:r>
          </w:p>
        </w:tc>
        <w:tc>
          <w:tcPr>
            <w:tcW w:type="dxa" w:w="198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284,527</w:t>
            </w:r>
          </w:p>
        </w:tc>
        <w:tc>
          <w:tcPr>
            <w:tcW w:type="dxa" w:w="18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71.3%</w:t>
            </w:r>
          </w:p>
        </w:tc>
      </w:tr>
      <w:tr>
        <w:tc>
          <w:tcPr>
            <w:tcW w:type="dxa" w:w="558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IM - Beauty Products</w:t>
            </w:r>
          </w:p>
        </w:tc>
        <w:tc>
          <w:tcPr>
            <w:tcW w:type="dxa" w:w="198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284,243</w:t>
            </w:r>
          </w:p>
        </w:tc>
        <w:tc>
          <w:tcPr>
            <w:tcW w:type="dxa" w:w="18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71.2%</w:t>
            </w:r>
          </w:p>
        </w:tc>
      </w:tr>
      <w:tr>
        <w:tc>
          <w:tcPr>
            <w:tcW w:type="dxa" w:w="558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IM - Smartphones &amp; Basic Mobiles</w:t>
            </w:r>
          </w:p>
        </w:tc>
        <w:tc>
          <w:tcPr>
            <w:tcW w:type="dxa" w:w="198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282,840</w:t>
            </w:r>
          </w:p>
        </w:tc>
        <w:tc>
          <w:tcPr>
            <w:tcW w:type="dxa" w:w="18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70.9%</w:t>
            </w:r>
          </w:p>
        </w:tc>
      </w:tr>
      <w:tr>
        <w:tc>
          <w:tcPr>
            <w:tcW w:type="dxa" w:w="558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IM - Health &amp; Personal Care</w:t>
            </w:r>
          </w:p>
        </w:tc>
        <w:tc>
          <w:tcPr>
            <w:tcW w:type="dxa" w:w="198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280,429</w:t>
            </w:r>
          </w:p>
        </w:tc>
        <w:tc>
          <w:tcPr>
            <w:tcW w:type="dxa" w:w="18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70.3%</w:t>
            </w:r>
          </w:p>
        </w:tc>
      </w:tr>
      <w:tr>
        <w:tc>
          <w:tcPr>
            <w:tcW w:type="dxa" w:w="558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Men or Computers &amp; Accessories or Mobiles</w:t>
            </w:r>
          </w:p>
        </w:tc>
        <w:tc>
          <w:tcPr>
            <w:tcW w:type="dxa" w:w="198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279,980</w:t>
            </w:r>
          </w:p>
        </w:tc>
        <w:tc>
          <w:tcPr>
            <w:tcW w:type="dxa" w:w="18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70.2%</w:t>
            </w:r>
          </w:p>
        </w:tc>
      </w:tr>
      <w:tr>
        <w:tc>
          <w:tcPr>
            <w:tcW w:type="dxa" w:w="558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Ethnic Wear or Ethnic Wear or Beauty</w:t>
            </w:r>
          </w:p>
        </w:tc>
        <w:tc>
          <w:tcPr>
            <w:tcW w:type="dxa" w:w="198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278,409</w:t>
            </w:r>
          </w:p>
        </w:tc>
        <w:tc>
          <w:tcPr>
            <w:tcW w:type="dxa" w:w="18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69.8%</w:t>
            </w:r>
          </w:p>
        </w:tc>
      </w:tr>
      <w:tr>
        <w:tc>
          <w:tcPr>
            <w:tcW w:type="dxa" w:w="558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Health or Fragrance</w:t>
            </w:r>
          </w:p>
        </w:tc>
        <w:tc>
          <w:tcPr>
            <w:tcW w:type="dxa" w:w="198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277,732</w:t>
            </w:r>
          </w:p>
        </w:tc>
        <w:tc>
          <w:tcPr>
            <w:tcW w:type="dxa" w:w="18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69.6%</w:t>
            </w:r>
          </w:p>
        </w:tc>
      </w:tr>
    </w:tbl>
    <w:p>
      <w:pPr>
        <w:spacing w:after="0" w:before="120"/>
      </w:pPr>
      <w:r>
        <w:t xml:space="preserve"/>
      </w:r>
    </w:p>
    <w:p>
      <w:pPr>
        <w:pStyle w:val="SubHeading"/>
      </w:pPr>
      <w:r>
        <w:t xml:space="preserve">Key Findings</w:t>
      </w:r>
    </w:p>
    <w:p>
      <w:pPr>
        <w:pStyle w:val="ListParagraph"/>
        <w:numPr>
          <w:ilvl w:val="0"/>
          <w:numId w:val="2"/>
        </w:numPr>
      </w:pPr>
      <w:r>
        <w:rPr>
          <w:rFonts w:ascii="Arial" w:cs="Arial" w:eastAsia="Arial" w:hAnsi="Arial"/>
          <w:color w:val="2C3E50"/>
          <w:sz w:val="21"/>
          <w:szCs w:val="21"/>
        </w:rPr>
        <w:t xml:space="preserve">ML persona tags are extremely broadly distributed — every segment in the top 20 covers 70–76% of all streamers. This is expected: each user carries 10+ overlapping interest tags, meaning these represent co-occurring affinities rather than mutually exclusive audience segments.</w:t>
      </w:r>
    </w:p>
    <w:p>
      <w:pPr>
        <w:pStyle w:val="ListParagraph"/>
        <w:numPr>
          <w:ilvl w:val="0"/>
          <w:numId w:val="2"/>
        </w:numPr>
      </w:pPr>
      <w:r>
        <w:rPr>
          <w:rFonts w:ascii="Arial" w:cs="Arial" w:eastAsia="Arial" w:hAnsi="Arial"/>
          <w:color w:val="2C3E50"/>
          <w:sz w:val="21"/>
          <w:szCs w:val="21"/>
        </w:rPr>
        <w:t xml:space="preserve">The broad distribution confirms that raw persona tags cannot be used as persona definitions. A user tagged with "Fashion", "Electronics", "Beauty", and "Home &amp; Kitchen" simultaneously provides feature richness but cannot be placed in a single category.</w:t>
      </w:r>
    </w:p>
    <w:p>
      <w:pPr>
        <w:pStyle w:val="ListParagraph"/>
        <w:numPr>
          <w:ilvl w:val="0"/>
          <w:numId w:val="2"/>
        </w:numPr>
      </w:pPr>
      <w:r>
        <w:rPr>
          <w:rFonts w:ascii="Arial" w:cs="Arial" w:eastAsia="Arial" w:hAnsi="Arial"/>
          <w:color w:val="2C3E50"/>
          <w:sz w:val="21"/>
          <w:szCs w:val="21"/>
        </w:rPr>
        <w:t xml:space="preserve">Interest tags are most valuable as feature vectors for clustering algorithms. The combination and relative weight of tags across a user will differentiate audience segments more reliably than any single tag alone.</w:t>
      </w:r>
    </w:p>
    <w:p>
      <w:pPr>
        <w:pStyle w:val="ListParagraph"/>
        <w:numPr>
          <w:ilvl w:val="0"/>
          <w:numId w:val="2"/>
        </w:numPr>
      </w:pPr>
      <w:r>
        <w:rPr>
          <w:rFonts w:ascii="Arial" w:cs="Arial" w:eastAsia="Arial" w:hAnsi="Arial"/>
          <w:color w:val="2C3E50"/>
          <w:sz w:val="21"/>
          <w:szCs w:val="21"/>
        </w:rPr>
        <w:t xml:space="preserve">The dominant interest categories — Fashion, Electronics, Beauty, Home &amp; Kitchen, Fitness — align well with the F18-24 demographic identified in Query 2, suggesting these interests are correlated with the platform's largest audience cohort.</w:t>
      </w:r>
    </w:p>
    <w:p>
      <w:pPr>
        <w:pStyle w:val="ListParagraph"/>
        <w:numPr>
          <w:ilvl w:val="0"/>
          <w:numId w:val="2"/>
        </w:numPr>
      </w:pPr>
      <w:r>
        <w:rPr>
          <w:rFonts w:ascii="Arial" w:cs="Arial" w:eastAsia="Arial" w:hAnsi="Arial"/>
          <w:color w:val="2C3E50"/>
          <w:sz w:val="21"/>
          <w:szCs w:val="21"/>
        </w:rPr>
        <w:t xml:space="preserve">The presence of "Men or Computers &amp; Accessories or Mobiles" (279K) and "Automotive or Electronics" (288K) at scale confirms that the male audience (primarily M25-34 from Query 2) is well-represented in the interest signal layer.</w:t>
      </w:r>
    </w:p>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14"/>
              <w:bottom w:val="single" w:color="DDDDDD" w:sz="2"/>
              <w:right w:val="single" w:color="DDDDDD" w:sz="1"/>
            </w:tcBorders>
            <w:shd w:fill="FFF8E1" w:val="clear"/>
          </w:tcPr>
          <w:p>
            <w:pPr>
              <w:spacing w:after="60" w:before="100"/>
            </w:pPr>
            <w:r>
              <w:rPr>
                <w:rFonts w:ascii="Arial" w:cs="Arial" w:eastAsia="Arial" w:hAnsi="Arial"/>
                <w:b/>
                <w:bCs/>
                <w:caps/>
                <w:color w:val="E65100"/>
                <w:sz w:val="19"/>
                <w:szCs w:val="19"/>
              </w:rPr>
              <w:t xml:space="preserve">METHODOLOGY NOTE</w:t>
            </w:r>
          </w:p>
          <w:p>
            <w:pPr>
              <w:spacing w:after="100" w:before="40"/>
            </w:pPr>
            <w:r>
              <w:rPr>
                <w:rFonts w:ascii="Arial" w:cs="Arial" w:eastAsia="Arial" w:hAnsi="Arial"/>
                <w:color w:val="333333"/>
                <w:sz w:val="21"/>
                <w:szCs w:val="21"/>
              </w:rPr>
              <w:t xml:space="preserve">Phase 2 persona construction must treat interest tags as a multi-dimensional feature matrix (user × interest combination vectors) rather than as categorical labels. A k-means or hierarchical clustering approach over this feature space — combined with behavioral dimensions from Queries 1, 4, 5, and 7 — will yield the statistically defined personas.</w:t>
            </w:r>
          </w:p>
        </w:tc>
      </w:tr>
    </w:tbl>
    <w:p>
      <w:pPr>
        <w:spacing w:after="0" w:before="200"/>
      </w:pPr>
      <w:r>
        <w:t xml:space="preserve"/>
      </w:r>
    </w:p>
    <w:p>
      <w:r>
        <w:br w:type="page"/>
      </w:r>
    </w:p>
    <w:p>
      <w:pPr>
        <w:pStyle w:val="SectionHeading"/>
      </w:pPr>
      <w:r>
        <w:t xml:space="preserve">Query 4 — Top Shows by Streamers</w:t>
      </w:r>
    </w:p>
    <w:p>
      <w:pPr>
        <w:pStyle w:val="Body"/>
      </w:pPr>
      <w:r>
        <w:t xml:space="preserve">Source: fatafat.mxp_fatafat_player_engagement joined to daily_cms_data_table | Period: Mar 31 – Apr 6, 2026</w:t>
      </w:r>
    </w:p>
    <w:p>
      <w:pPr>
        <w:pStyle w:val="Body"/>
      </w:pPr>
      <w:r>
        <w:t xml:space="preserve">The top shows query identifies the 20 most-streamed shows on Fatafat by unique 3-second streamers over the 7-day window. Beyond reach, it captures total watchtime and MPC — enabling identification of distinct content consumption patterns that anchor persona construction.</w:t>
      </w:r>
    </w:p>
    <w:p>
      <w:pPr>
        <w:spacing w:after="0" w:before="80"/>
      </w:pPr>
      <w:r>
        <w:t xml:space="preserve"/>
      </w:r>
    </w:p>
    <w:p>
      <w:pPr>
        <w:spacing w:after="60" w:before="120"/>
        <w:jc w:val="center"/>
      </w:pPr>
      <w:r>
        <w:drawing>
          <wp:inline distT="0" distB="0" distL="0" distR="0">
            <wp:extent cx="5715000" cy="3333750"/>
            <wp:effectExtent t="0" r="0" b="0" l="0"/>
            <wp:docPr id="1" name="chart3_shows_scatter.png" descr="chart3_shows_scatter.png" title="chart3_shows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33750"/>
                    </a:xfrm>
                    <a:prstGeom prst="rect">
                      <a:avLst/>
                    </a:prstGeom>
                  </pic:spPr>
                </pic:pic>
              </a:graphicData>
            </a:graphic>
          </wp:inline>
        </w:drawing>
      </w:r>
    </w:p>
    <w:p>
      <w:pPr>
        <w:pStyle w:val="Caption"/>
      </w:pPr>
      <w:r>
        <w:rPr>
          <w:i/>
          <w:iCs/>
          <w:color w:val="666666"/>
          <w:sz w:val="18"/>
          <w:szCs w:val="18"/>
        </w:rPr>
        <w:t xml:space="preserve">Figure 4.1: Top 20 Shows — Unique Streamers vs MPC | Bubble Size = Total Watchtime Minutes</w:t>
      </w:r>
    </w:p>
    <w:p>
      <w:pPr>
        <w:spacing w:after="0" w:before="80"/>
      </w:pPr>
      <w:r>
        <w:t xml:space="preserve"/>
      </w:r>
    </w:p>
    <w:p>
      <w:pPr>
        <w:pStyle w:val="SubHeading"/>
      </w:pPr>
      <w:r>
        <w:t xml:space="preserve">Data Table — Top 20 Fatafat Shows (Mar 31 – Apr 6,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300"/>
        <w:gridCol w:w="700"/>
        <w:gridCol w:w="1600"/>
        <w:gridCol w:w="1200"/>
      </w:tblGrid>
      <w:tr>
        <w:trPr>
          <w:tblHeader/>
        </w:trPr>
        <w:tc>
          <w:tcPr>
            <w:tcW w:type="dxa" w:w="3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w:t>
            </w:r>
          </w:p>
        </w:tc>
        <w:tc>
          <w:tcPr>
            <w:tcW w:type="dxa" w:w="3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Show Name</w:t>
            </w:r>
          </w:p>
        </w:tc>
        <w:tc>
          <w:tcPr>
            <w:tcW w:type="dxa" w:w="13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Streamers</w:t>
            </w:r>
          </w:p>
        </w:tc>
        <w:tc>
          <w:tcPr>
            <w:tcW w:type="dxa" w:w="7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Episodes</w:t>
            </w:r>
          </w:p>
        </w:tc>
        <w:tc>
          <w:tcPr>
            <w:tcW w:type="dxa" w:w="16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Total Min</w:t>
            </w:r>
          </w:p>
        </w:tc>
        <w:tc>
          <w:tcPr>
            <w:tcW w:type="dxa" w:w="1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MPC (min)</w:t>
            </w:r>
          </w:p>
        </w:tc>
      </w:tr>
      <w:tr>
        <w:tc>
          <w:tcPr>
            <w:tcW w:type="dxa" w:w="36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1</w:t>
            </w:r>
          </w:p>
        </w:tc>
        <w:tc>
          <w:tcPr>
            <w:tcW w:type="dxa" w:w="3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Why Do You Love Me?</w:t>
            </w:r>
          </w:p>
        </w:tc>
        <w:tc>
          <w:tcPr>
            <w:tcW w:type="dxa" w:w="13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225,701</w:t>
            </w:r>
          </w:p>
        </w:tc>
        <w:tc>
          <w:tcPr>
            <w:tcW w:type="dxa" w:w="7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80</w:t>
            </w:r>
          </w:p>
        </w:tc>
        <w:tc>
          <w:tcPr>
            <w:tcW w:type="dxa" w:w="16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2,273,093</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888888"/>
                <w:sz w:val="20"/>
                <w:szCs w:val="20"/>
              </w:rPr>
              <w:t xml:space="preserve">10.1</w:t>
            </w:r>
          </w:p>
        </w:tc>
      </w:tr>
      <w:tr>
        <w:tc>
          <w:tcPr>
            <w:tcW w:type="dxa" w:w="36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2</w:t>
            </w:r>
          </w:p>
        </w:tc>
        <w:tc>
          <w:tcPr>
            <w:tcW w:type="dxa" w:w="3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My Cursed Kiss</w:t>
            </w:r>
          </w:p>
        </w:tc>
        <w:tc>
          <w:tcPr>
            <w:tcW w:type="dxa" w:w="13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150,480</w:t>
            </w:r>
          </w:p>
        </w:tc>
        <w:tc>
          <w:tcPr>
            <w:tcW w:type="dxa" w:w="7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70</w:t>
            </w:r>
          </w:p>
        </w:tc>
        <w:tc>
          <w:tcPr>
            <w:tcW w:type="dxa" w:w="16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1,026,671</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888888"/>
                <w:sz w:val="20"/>
                <w:szCs w:val="20"/>
              </w:rPr>
              <w:t xml:space="preserve">6.8</w:t>
            </w:r>
          </w:p>
        </w:tc>
      </w:tr>
      <w:tr>
        <w:tc>
          <w:tcPr>
            <w:tcW w:type="dxa" w:w="36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3</w:t>
            </w:r>
          </w:p>
        </w:tc>
        <w:tc>
          <w:tcPr>
            <w:tcW w:type="dxa" w:w="3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His Allergic Love</w:t>
            </w:r>
          </w:p>
        </w:tc>
        <w:tc>
          <w:tcPr>
            <w:tcW w:type="dxa" w:w="13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130,311</w:t>
            </w:r>
          </w:p>
        </w:tc>
        <w:tc>
          <w:tcPr>
            <w:tcW w:type="dxa" w:w="7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79</w:t>
            </w:r>
          </w:p>
        </w:tc>
        <w:tc>
          <w:tcPr>
            <w:tcW w:type="dxa" w:w="16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1,624,955</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888888"/>
                <w:sz w:val="20"/>
                <w:szCs w:val="20"/>
              </w:rPr>
              <w:t xml:space="preserve">12.5</w:t>
            </w:r>
          </w:p>
        </w:tc>
      </w:tr>
      <w:tr>
        <w:tc>
          <w:tcPr>
            <w:tcW w:type="dxa" w:w="36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4</w:t>
            </w:r>
          </w:p>
        </w:tc>
        <w:tc>
          <w:tcPr>
            <w:tcW w:type="dxa" w:w="3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Back From My Funeral</w:t>
            </w:r>
          </w:p>
        </w:tc>
        <w:tc>
          <w:tcPr>
            <w:tcW w:type="dxa" w:w="13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127,395</w:t>
            </w:r>
          </w:p>
        </w:tc>
        <w:tc>
          <w:tcPr>
            <w:tcW w:type="dxa" w:w="7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64</w:t>
            </w:r>
          </w:p>
        </w:tc>
        <w:tc>
          <w:tcPr>
            <w:tcW w:type="dxa" w:w="16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1,288,700</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888888"/>
                <w:sz w:val="20"/>
                <w:szCs w:val="20"/>
              </w:rPr>
              <w:t xml:space="preserve">10.1</w:t>
            </w:r>
          </w:p>
        </w:tc>
      </w:tr>
      <w:tr>
        <w:tc>
          <w:tcPr>
            <w:tcW w:type="dxa" w:w="36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5</w:t>
            </w:r>
          </w:p>
        </w:tc>
        <w:tc>
          <w:tcPr>
            <w:tcW w:type="dxa" w:w="32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Our Love Is The Ocean Of Stars</w:t>
            </w:r>
          </w:p>
        </w:tc>
        <w:tc>
          <w:tcPr>
            <w:tcW w:type="dxa" w:w="13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126,092</w:t>
            </w:r>
          </w:p>
        </w:tc>
        <w:tc>
          <w:tcPr>
            <w:tcW w:type="dxa" w:w="7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67</w:t>
            </w:r>
          </w:p>
        </w:tc>
        <w:tc>
          <w:tcPr>
            <w:tcW w:type="dxa" w:w="16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4,523,515</w:t>
            </w:r>
          </w:p>
        </w:tc>
        <w:tc>
          <w:tcPr>
            <w:tcW w:type="dxa" w:w="12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C2185B"/>
                <w:sz w:val="20"/>
                <w:szCs w:val="20"/>
              </w:rPr>
              <w:t xml:space="preserve">35.9</w:t>
            </w:r>
          </w:p>
        </w:tc>
      </w:tr>
      <w:tr>
        <w:tc>
          <w:tcPr>
            <w:tcW w:type="dxa" w:w="36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6</w:t>
            </w:r>
          </w:p>
        </w:tc>
        <w:tc>
          <w:tcPr>
            <w:tcW w:type="dxa" w:w="3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I Won His Heart</w:t>
            </w:r>
          </w:p>
        </w:tc>
        <w:tc>
          <w:tcPr>
            <w:tcW w:type="dxa" w:w="13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125,293</w:t>
            </w:r>
          </w:p>
        </w:tc>
        <w:tc>
          <w:tcPr>
            <w:tcW w:type="dxa" w:w="7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69</w:t>
            </w:r>
          </w:p>
        </w:tc>
        <w:tc>
          <w:tcPr>
            <w:tcW w:type="dxa" w:w="16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1,832,010</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888888"/>
                <w:sz w:val="20"/>
                <w:szCs w:val="20"/>
              </w:rPr>
              <w:t xml:space="preserve">14.6</w:t>
            </w:r>
          </w:p>
        </w:tc>
      </w:tr>
      <w:tr>
        <w:tc>
          <w:tcPr>
            <w:tcW w:type="dxa" w:w="36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7</w:t>
            </w:r>
          </w:p>
        </w:tc>
        <w:tc>
          <w:tcPr>
            <w:tcW w:type="dxa" w:w="32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Mr. Huo, Your Wife's Back with Babies!</w:t>
            </w:r>
          </w:p>
        </w:tc>
        <w:tc>
          <w:tcPr>
            <w:tcW w:type="dxa" w:w="13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122,070</w:t>
            </w:r>
          </w:p>
        </w:tc>
        <w:tc>
          <w:tcPr>
            <w:tcW w:type="dxa" w:w="7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59</w:t>
            </w:r>
          </w:p>
        </w:tc>
        <w:tc>
          <w:tcPr>
            <w:tcW w:type="dxa" w:w="16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3,879,250</w:t>
            </w:r>
          </w:p>
        </w:tc>
        <w:tc>
          <w:tcPr>
            <w:tcW w:type="dxa" w:w="12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C2185B"/>
                <w:sz w:val="20"/>
                <w:szCs w:val="20"/>
              </w:rPr>
              <w:t xml:space="preserve">31.8</w:t>
            </w:r>
          </w:p>
        </w:tc>
      </w:tr>
      <w:tr>
        <w:tc>
          <w:tcPr>
            <w:tcW w:type="dxa" w:w="36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8</w:t>
            </w:r>
          </w:p>
        </w:tc>
        <w:tc>
          <w:tcPr>
            <w:tcW w:type="dxa" w:w="3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I Married A Mystery</w:t>
            </w:r>
          </w:p>
        </w:tc>
        <w:tc>
          <w:tcPr>
            <w:tcW w:type="dxa" w:w="13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107,940</w:t>
            </w:r>
          </w:p>
        </w:tc>
        <w:tc>
          <w:tcPr>
            <w:tcW w:type="dxa" w:w="7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61</w:t>
            </w:r>
          </w:p>
        </w:tc>
        <w:tc>
          <w:tcPr>
            <w:tcW w:type="dxa" w:w="16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1,162,860</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888888"/>
                <w:sz w:val="20"/>
                <w:szCs w:val="20"/>
              </w:rPr>
              <w:t xml:space="preserve">10.8</w:t>
            </w:r>
          </w:p>
        </w:tc>
      </w:tr>
      <w:tr>
        <w:tc>
          <w:tcPr>
            <w:tcW w:type="dxa" w:w="360"/>
            <w:tcBorders>
              <w:top w:val="single" w:color="D0D0D0" w:sz="1"/>
              <w:left w:val="single" w:color="D0D0D0" w:sz="1"/>
              <w:bottom w:val="single" w:color="D0D0D0" w:sz="1"/>
              <w:right w:val="single" w:color="D0D0D0" w:sz="1"/>
            </w:tcBorders>
            <w:shd w:fill="FAFAFA" w:val="clear"/>
          </w:tcPr>
          <w:p>
            <w:pPr>
              <w:spacing w:after="60" w:before="60"/>
              <w:jc w:val="center"/>
            </w:pPr>
            <w:r>
              <w:rPr>
                <w:rFonts w:ascii="Arial" w:cs="Arial" w:eastAsia="Arial" w:hAnsi="Arial"/>
                <w:b w:val="false"/>
                <w:bCs w:val="false"/>
                <w:color w:val="2C3E50"/>
                <w:sz w:val="20"/>
                <w:szCs w:val="20"/>
              </w:rPr>
              <w:t xml:space="preserve">9</w:t>
            </w:r>
          </w:p>
        </w:tc>
        <w:tc>
          <w:tcPr>
            <w:tcW w:type="dxa" w:w="3200"/>
            <w:tcBorders>
              <w:top w:val="single" w:color="D0D0D0" w:sz="1"/>
              <w:left w:val="single" w:color="D0D0D0" w:sz="1"/>
              <w:bottom w:val="single" w:color="D0D0D0" w:sz="1"/>
              <w:right w:val="single" w:color="D0D0D0" w:sz="1"/>
            </w:tcBorders>
            <w:shd w:fill="FAFAFA" w:val="clear"/>
          </w:tcPr>
          <w:p>
            <w:pPr>
              <w:spacing w:after="60" w:before="60"/>
              <w:jc w:val="left"/>
            </w:pPr>
            <w:r>
              <w:rPr>
                <w:rFonts w:ascii="Arial" w:cs="Arial" w:eastAsia="Arial" w:hAnsi="Arial"/>
                <w:b w:val="false"/>
                <w:bCs w:val="false"/>
                <w:color w:val="2C3E50"/>
                <w:sz w:val="20"/>
                <w:szCs w:val="20"/>
              </w:rPr>
              <w:t xml:space="preserve">Ek Badnaam Aashram</w:t>
            </w:r>
          </w:p>
        </w:tc>
        <w:tc>
          <w:tcPr>
            <w:tcW w:type="dxa" w:w="1300"/>
            <w:tcBorders>
              <w:top w:val="single" w:color="D0D0D0" w:sz="1"/>
              <w:left w:val="single" w:color="D0D0D0" w:sz="1"/>
              <w:bottom w:val="single" w:color="D0D0D0" w:sz="1"/>
              <w:right w:val="single" w:color="D0D0D0" w:sz="1"/>
            </w:tcBorders>
            <w:shd w:fill="FAFAFA" w:val="clear"/>
          </w:tcPr>
          <w:p>
            <w:pPr>
              <w:spacing w:after="60" w:before="60"/>
              <w:jc w:val="right"/>
            </w:pPr>
            <w:r>
              <w:rPr>
                <w:rFonts w:ascii="Arial" w:cs="Arial" w:eastAsia="Arial" w:hAnsi="Arial"/>
                <w:b w:val="false"/>
                <w:bCs w:val="false"/>
                <w:color w:val="2C3E50"/>
                <w:sz w:val="20"/>
                <w:szCs w:val="20"/>
              </w:rPr>
              <w:t xml:space="preserve">96,620</w:t>
            </w:r>
          </w:p>
        </w:tc>
        <w:tc>
          <w:tcPr>
            <w:tcW w:type="dxa" w:w="700"/>
            <w:tcBorders>
              <w:top w:val="single" w:color="D0D0D0" w:sz="1"/>
              <w:left w:val="single" w:color="D0D0D0" w:sz="1"/>
              <w:bottom w:val="single" w:color="D0D0D0" w:sz="1"/>
              <w:right w:val="single" w:color="D0D0D0" w:sz="1"/>
            </w:tcBorders>
            <w:shd w:fill="FAFAFA" w:val="clear"/>
          </w:tcPr>
          <w:p>
            <w:pPr>
              <w:spacing w:after="60" w:before="60"/>
              <w:jc w:val="center"/>
            </w:pPr>
            <w:r>
              <w:rPr>
                <w:rFonts w:ascii="Arial" w:cs="Arial" w:eastAsia="Arial" w:hAnsi="Arial"/>
                <w:b w:val="false"/>
                <w:bCs w:val="false"/>
                <w:color w:val="2C3E50"/>
                <w:sz w:val="20"/>
                <w:szCs w:val="20"/>
              </w:rPr>
              <w:t xml:space="preserve">60</w:t>
            </w:r>
          </w:p>
        </w:tc>
        <w:tc>
          <w:tcPr>
            <w:tcW w:type="dxa" w:w="1600"/>
            <w:tcBorders>
              <w:top w:val="single" w:color="D0D0D0" w:sz="1"/>
              <w:left w:val="single" w:color="D0D0D0" w:sz="1"/>
              <w:bottom w:val="single" w:color="D0D0D0" w:sz="1"/>
              <w:right w:val="single" w:color="D0D0D0" w:sz="1"/>
            </w:tcBorders>
            <w:shd w:fill="FAFAFA" w:val="clear"/>
          </w:tcPr>
          <w:p>
            <w:pPr>
              <w:spacing w:after="60" w:before="60"/>
              <w:jc w:val="right"/>
            </w:pPr>
            <w:r>
              <w:rPr>
                <w:rFonts w:ascii="Arial" w:cs="Arial" w:eastAsia="Arial" w:hAnsi="Arial"/>
                <w:b w:val="false"/>
                <w:bCs w:val="false"/>
                <w:color w:val="2C3E50"/>
                <w:sz w:val="20"/>
                <w:szCs w:val="20"/>
              </w:rPr>
              <w:t xml:space="preserve">176,360</w:t>
            </w:r>
          </w:p>
        </w:tc>
        <w:tc>
          <w:tcPr>
            <w:tcW w:type="dxa" w:w="1200"/>
            <w:tcBorders>
              <w:top w:val="single" w:color="D0D0D0" w:sz="1"/>
              <w:left w:val="single" w:color="D0D0D0" w:sz="1"/>
              <w:bottom w:val="single" w:color="D0D0D0" w:sz="1"/>
              <w:right w:val="single" w:color="D0D0D0" w:sz="1"/>
            </w:tcBorders>
            <w:shd w:fill="FAFAFA" w:val="clear"/>
          </w:tcPr>
          <w:p>
            <w:pPr>
              <w:spacing w:after="60" w:before="60"/>
              <w:jc w:val="center"/>
            </w:pPr>
            <w:r>
              <w:rPr>
                <w:rFonts w:ascii="Arial" w:cs="Arial" w:eastAsia="Arial" w:hAnsi="Arial"/>
                <w:b w:val="false"/>
                <w:bCs w:val="false"/>
                <w:color w:val="888888"/>
                <w:sz w:val="20"/>
                <w:szCs w:val="20"/>
              </w:rPr>
              <w:t xml:space="preserve">1.8</w:t>
            </w:r>
          </w:p>
        </w:tc>
      </w:tr>
      <w:tr>
        <w:tc>
          <w:tcPr>
            <w:tcW w:type="dxa" w:w="36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10</w:t>
            </w:r>
          </w:p>
        </w:tc>
        <w:tc>
          <w:tcPr>
            <w:tcW w:type="dxa" w:w="3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Unbossed Wife</w:t>
            </w:r>
          </w:p>
        </w:tc>
        <w:tc>
          <w:tcPr>
            <w:tcW w:type="dxa" w:w="13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94,084</w:t>
            </w:r>
          </w:p>
        </w:tc>
        <w:tc>
          <w:tcPr>
            <w:tcW w:type="dxa" w:w="7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86</w:t>
            </w:r>
          </w:p>
        </w:tc>
        <w:tc>
          <w:tcPr>
            <w:tcW w:type="dxa" w:w="16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1,294,573</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888888"/>
                <w:sz w:val="20"/>
                <w:szCs w:val="20"/>
              </w:rPr>
              <w:t xml:space="preserve">13.8</w:t>
            </w:r>
          </w:p>
        </w:tc>
      </w:tr>
      <w:tr>
        <w:tc>
          <w:tcPr>
            <w:tcW w:type="dxa" w:w="36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11</w:t>
            </w:r>
          </w:p>
        </w:tc>
        <w:tc>
          <w:tcPr>
            <w:tcW w:type="dxa" w:w="32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Lucky Trio: CEO Daddy's Doting Love</w:t>
            </w:r>
          </w:p>
        </w:tc>
        <w:tc>
          <w:tcPr>
            <w:tcW w:type="dxa" w:w="13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73,172</w:t>
            </w:r>
          </w:p>
        </w:tc>
        <w:tc>
          <w:tcPr>
            <w:tcW w:type="dxa" w:w="7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90</w:t>
            </w:r>
          </w:p>
        </w:tc>
        <w:tc>
          <w:tcPr>
            <w:tcW w:type="dxa" w:w="16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2,205,650</w:t>
            </w:r>
          </w:p>
        </w:tc>
        <w:tc>
          <w:tcPr>
            <w:tcW w:type="dxa" w:w="12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C2185B"/>
                <w:sz w:val="20"/>
                <w:szCs w:val="20"/>
              </w:rPr>
              <w:t xml:space="preserve">30.1</w:t>
            </w:r>
          </w:p>
        </w:tc>
      </w:tr>
      <w:tr>
        <w:tc>
          <w:tcPr>
            <w:tcW w:type="dxa" w:w="36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12</w:t>
            </w:r>
          </w:p>
        </w:tc>
        <w:tc>
          <w:tcPr>
            <w:tcW w:type="dxa" w:w="32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The Divorce Sisters</w:t>
            </w:r>
          </w:p>
        </w:tc>
        <w:tc>
          <w:tcPr>
            <w:tcW w:type="dxa" w:w="1300"/>
            <w:tcBorders>
              <w:top w:val="single" w:color="D0D0D0" w:sz="1"/>
              <w:left w:val="single" w:color="D0D0D0" w:sz="1"/>
              <w:bottom w:val="single" w:color="D0D0D0" w:sz="1"/>
              <w:right w:val="single" w:color="D0D0D0" w:sz="1"/>
            </w:tcBorders>
            <w:shd w:fill="F1FAF9" w:val="clear"/>
          </w:tcPr>
          <w:p>
            <w:pPr>
              <w:spacing w:after="60" w:before="60"/>
              <w:jc w:val="right"/>
            </w:pPr>
            <w:r>
              <w:rPr>
                <w:rFonts w:ascii="Arial" w:cs="Arial" w:eastAsia="Arial" w:hAnsi="Arial"/>
                <w:b w:val="false"/>
                <w:bCs w:val="false"/>
                <w:color w:val="2C3E50"/>
                <w:sz w:val="20"/>
                <w:szCs w:val="20"/>
              </w:rPr>
              <w:t xml:space="preserve">69,534</w:t>
            </w:r>
          </w:p>
        </w:tc>
        <w:tc>
          <w:tcPr>
            <w:tcW w:type="dxa" w:w="7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90</w:t>
            </w:r>
          </w:p>
        </w:tc>
        <w:tc>
          <w:tcPr>
            <w:tcW w:type="dxa" w:w="1600"/>
            <w:tcBorders>
              <w:top w:val="single" w:color="D0D0D0" w:sz="1"/>
              <w:left w:val="single" w:color="D0D0D0" w:sz="1"/>
              <w:bottom w:val="single" w:color="D0D0D0" w:sz="1"/>
              <w:right w:val="single" w:color="D0D0D0" w:sz="1"/>
            </w:tcBorders>
            <w:shd w:fill="F1FAF9" w:val="clear"/>
          </w:tcPr>
          <w:p>
            <w:pPr>
              <w:spacing w:after="60" w:before="60"/>
              <w:jc w:val="right"/>
            </w:pPr>
            <w:r>
              <w:rPr>
                <w:rFonts w:ascii="Arial" w:cs="Arial" w:eastAsia="Arial" w:hAnsi="Arial"/>
                <w:b w:val="false"/>
                <w:bCs w:val="false"/>
                <w:color w:val="2C3E50"/>
                <w:sz w:val="20"/>
                <w:szCs w:val="20"/>
              </w:rPr>
              <w:t xml:space="preserve">1,236,643</w:t>
            </w:r>
          </w:p>
        </w:tc>
        <w:tc>
          <w:tcPr>
            <w:tcW w:type="dxa" w:w="12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00897B"/>
                <w:sz w:val="20"/>
                <w:szCs w:val="20"/>
              </w:rPr>
              <w:t xml:space="preserve">17.8</w:t>
            </w:r>
          </w:p>
        </w:tc>
      </w:tr>
      <w:tr>
        <w:tc>
          <w:tcPr>
            <w:tcW w:type="dxa" w:w="36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13</w:t>
            </w:r>
          </w:p>
        </w:tc>
        <w:tc>
          <w:tcPr>
            <w:tcW w:type="dxa" w:w="32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The Cold CEO's Torturous Love Game</w:t>
            </w:r>
          </w:p>
        </w:tc>
        <w:tc>
          <w:tcPr>
            <w:tcW w:type="dxa" w:w="13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62,710</w:t>
            </w:r>
          </w:p>
        </w:tc>
        <w:tc>
          <w:tcPr>
            <w:tcW w:type="dxa" w:w="7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100</w:t>
            </w:r>
          </w:p>
        </w:tc>
        <w:tc>
          <w:tcPr>
            <w:tcW w:type="dxa" w:w="16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2,012,240</w:t>
            </w:r>
          </w:p>
        </w:tc>
        <w:tc>
          <w:tcPr>
            <w:tcW w:type="dxa" w:w="12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C2185B"/>
                <w:sz w:val="20"/>
                <w:szCs w:val="20"/>
              </w:rPr>
              <w:t xml:space="preserve">32.1</w:t>
            </w:r>
          </w:p>
        </w:tc>
      </w:tr>
      <w:tr>
        <w:tc>
          <w:tcPr>
            <w:tcW w:type="dxa" w:w="360"/>
            <w:tcBorders>
              <w:top w:val="single" w:color="D0D0D0" w:sz="1"/>
              <w:left w:val="single" w:color="D0D0D0" w:sz="1"/>
              <w:bottom w:val="single" w:color="D0D0D0" w:sz="1"/>
              <w:right w:val="single" w:color="D0D0D0" w:sz="1"/>
            </w:tcBorders>
            <w:shd w:fill="FAFAFA" w:val="clear"/>
          </w:tcPr>
          <w:p>
            <w:pPr>
              <w:spacing w:after="60" w:before="60"/>
              <w:jc w:val="center"/>
            </w:pPr>
            <w:r>
              <w:rPr>
                <w:rFonts w:ascii="Arial" w:cs="Arial" w:eastAsia="Arial" w:hAnsi="Arial"/>
                <w:b w:val="false"/>
                <w:bCs w:val="false"/>
                <w:color w:val="2C3E50"/>
                <w:sz w:val="20"/>
                <w:szCs w:val="20"/>
              </w:rPr>
              <w:t xml:space="preserve">14</w:t>
            </w:r>
          </w:p>
        </w:tc>
        <w:tc>
          <w:tcPr>
            <w:tcW w:type="dxa" w:w="3200"/>
            <w:tcBorders>
              <w:top w:val="single" w:color="D0D0D0" w:sz="1"/>
              <w:left w:val="single" w:color="D0D0D0" w:sz="1"/>
              <w:bottom w:val="single" w:color="D0D0D0" w:sz="1"/>
              <w:right w:val="single" w:color="D0D0D0" w:sz="1"/>
            </w:tcBorders>
            <w:shd w:fill="FAFAFA" w:val="clear"/>
          </w:tcPr>
          <w:p>
            <w:pPr>
              <w:spacing w:after="60" w:before="60"/>
              <w:jc w:val="left"/>
            </w:pPr>
            <w:r>
              <w:rPr>
                <w:rFonts w:ascii="Arial" w:cs="Arial" w:eastAsia="Arial" w:hAnsi="Arial"/>
                <w:b w:val="false"/>
                <w:bCs w:val="false"/>
                <w:color w:val="2C3E50"/>
                <w:sz w:val="20"/>
                <w:szCs w:val="20"/>
              </w:rPr>
              <w:t xml:space="preserve">I Owe You Everything</w:t>
            </w:r>
          </w:p>
        </w:tc>
        <w:tc>
          <w:tcPr>
            <w:tcW w:type="dxa" w:w="1300"/>
            <w:tcBorders>
              <w:top w:val="single" w:color="D0D0D0" w:sz="1"/>
              <w:left w:val="single" w:color="D0D0D0" w:sz="1"/>
              <w:bottom w:val="single" w:color="D0D0D0" w:sz="1"/>
              <w:right w:val="single" w:color="D0D0D0" w:sz="1"/>
            </w:tcBorders>
            <w:shd w:fill="FAFAFA" w:val="clear"/>
          </w:tcPr>
          <w:p>
            <w:pPr>
              <w:spacing w:after="60" w:before="60"/>
              <w:jc w:val="right"/>
            </w:pPr>
            <w:r>
              <w:rPr>
                <w:rFonts w:ascii="Arial" w:cs="Arial" w:eastAsia="Arial" w:hAnsi="Arial"/>
                <w:b w:val="false"/>
                <w:bCs w:val="false"/>
                <w:color w:val="2C3E50"/>
                <w:sz w:val="20"/>
                <w:szCs w:val="20"/>
              </w:rPr>
              <w:t xml:space="preserve">61,922</w:t>
            </w:r>
          </w:p>
        </w:tc>
        <w:tc>
          <w:tcPr>
            <w:tcW w:type="dxa" w:w="700"/>
            <w:tcBorders>
              <w:top w:val="single" w:color="D0D0D0" w:sz="1"/>
              <w:left w:val="single" w:color="D0D0D0" w:sz="1"/>
              <w:bottom w:val="single" w:color="D0D0D0" w:sz="1"/>
              <w:right w:val="single" w:color="D0D0D0" w:sz="1"/>
            </w:tcBorders>
            <w:shd w:fill="FAFAFA" w:val="clear"/>
          </w:tcPr>
          <w:p>
            <w:pPr>
              <w:spacing w:after="60" w:before="60"/>
              <w:jc w:val="center"/>
            </w:pPr>
            <w:r>
              <w:rPr>
                <w:rFonts w:ascii="Arial" w:cs="Arial" w:eastAsia="Arial" w:hAnsi="Arial"/>
                <w:b w:val="false"/>
                <w:bCs w:val="false"/>
                <w:color w:val="2C3E50"/>
                <w:sz w:val="20"/>
                <w:szCs w:val="20"/>
              </w:rPr>
              <w:t xml:space="preserve">29</w:t>
            </w:r>
          </w:p>
        </w:tc>
        <w:tc>
          <w:tcPr>
            <w:tcW w:type="dxa" w:w="1600"/>
            <w:tcBorders>
              <w:top w:val="single" w:color="D0D0D0" w:sz="1"/>
              <w:left w:val="single" w:color="D0D0D0" w:sz="1"/>
              <w:bottom w:val="single" w:color="D0D0D0" w:sz="1"/>
              <w:right w:val="single" w:color="D0D0D0" w:sz="1"/>
            </w:tcBorders>
            <w:shd w:fill="FAFAFA" w:val="clear"/>
          </w:tcPr>
          <w:p>
            <w:pPr>
              <w:spacing w:after="60" w:before="60"/>
              <w:jc w:val="right"/>
            </w:pPr>
            <w:r>
              <w:rPr>
                <w:rFonts w:ascii="Arial" w:cs="Arial" w:eastAsia="Arial" w:hAnsi="Arial"/>
                <w:b w:val="false"/>
                <w:bCs w:val="false"/>
                <w:color w:val="2C3E50"/>
                <w:sz w:val="20"/>
                <w:szCs w:val="20"/>
              </w:rPr>
              <w:t xml:space="preserve">159,918</w:t>
            </w:r>
          </w:p>
        </w:tc>
        <w:tc>
          <w:tcPr>
            <w:tcW w:type="dxa" w:w="1200"/>
            <w:tcBorders>
              <w:top w:val="single" w:color="D0D0D0" w:sz="1"/>
              <w:left w:val="single" w:color="D0D0D0" w:sz="1"/>
              <w:bottom w:val="single" w:color="D0D0D0" w:sz="1"/>
              <w:right w:val="single" w:color="D0D0D0" w:sz="1"/>
            </w:tcBorders>
            <w:shd w:fill="FAFAFA" w:val="clear"/>
          </w:tcPr>
          <w:p>
            <w:pPr>
              <w:spacing w:after="60" w:before="60"/>
              <w:jc w:val="center"/>
            </w:pPr>
            <w:r>
              <w:rPr>
                <w:rFonts w:ascii="Arial" w:cs="Arial" w:eastAsia="Arial" w:hAnsi="Arial"/>
                <w:b w:val="false"/>
                <w:bCs w:val="false"/>
                <w:color w:val="888888"/>
                <w:sz w:val="20"/>
                <w:szCs w:val="20"/>
              </w:rPr>
              <w:t xml:space="preserve">2.6</w:t>
            </w:r>
          </w:p>
        </w:tc>
      </w:tr>
      <w:tr>
        <w:tc>
          <w:tcPr>
            <w:tcW w:type="dxa" w:w="36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15</w:t>
            </w:r>
          </w:p>
        </w:tc>
        <w:tc>
          <w:tcPr>
            <w:tcW w:type="dxa" w:w="32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Love Found Me First</w:t>
            </w:r>
          </w:p>
        </w:tc>
        <w:tc>
          <w:tcPr>
            <w:tcW w:type="dxa" w:w="1300"/>
            <w:tcBorders>
              <w:top w:val="single" w:color="D0D0D0" w:sz="1"/>
              <w:left w:val="single" w:color="D0D0D0" w:sz="1"/>
              <w:bottom w:val="single" w:color="D0D0D0" w:sz="1"/>
              <w:right w:val="single" w:color="D0D0D0" w:sz="1"/>
            </w:tcBorders>
            <w:shd w:fill="F1FAF9" w:val="clear"/>
          </w:tcPr>
          <w:p>
            <w:pPr>
              <w:spacing w:after="60" w:before="60"/>
              <w:jc w:val="right"/>
            </w:pPr>
            <w:r>
              <w:rPr>
                <w:rFonts w:ascii="Arial" w:cs="Arial" w:eastAsia="Arial" w:hAnsi="Arial"/>
                <w:b w:val="false"/>
                <w:bCs w:val="false"/>
                <w:color w:val="2C3E50"/>
                <w:sz w:val="20"/>
                <w:szCs w:val="20"/>
              </w:rPr>
              <w:t xml:space="preserve">56,562</w:t>
            </w:r>
          </w:p>
        </w:tc>
        <w:tc>
          <w:tcPr>
            <w:tcW w:type="dxa" w:w="7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72</w:t>
            </w:r>
          </w:p>
        </w:tc>
        <w:tc>
          <w:tcPr>
            <w:tcW w:type="dxa" w:w="1600"/>
            <w:tcBorders>
              <w:top w:val="single" w:color="D0D0D0" w:sz="1"/>
              <w:left w:val="single" w:color="D0D0D0" w:sz="1"/>
              <w:bottom w:val="single" w:color="D0D0D0" w:sz="1"/>
              <w:right w:val="single" w:color="D0D0D0" w:sz="1"/>
            </w:tcBorders>
            <w:shd w:fill="F1FAF9" w:val="clear"/>
          </w:tcPr>
          <w:p>
            <w:pPr>
              <w:spacing w:after="60" w:before="60"/>
              <w:jc w:val="right"/>
            </w:pPr>
            <w:r>
              <w:rPr>
                <w:rFonts w:ascii="Arial" w:cs="Arial" w:eastAsia="Arial" w:hAnsi="Arial"/>
                <w:b w:val="false"/>
                <w:bCs w:val="false"/>
                <w:color w:val="2C3E50"/>
                <w:sz w:val="20"/>
                <w:szCs w:val="20"/>
              </w:rPr>
              <w:t xml:space="preserve">1,217,721</w:t>
            </w:r>
          </w:p>
        </w:tc>
        <w:tc>
          <w:tcPr>
            <w:tcW w:type="dxa" w:w="12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00897B"/>
                <w:sz w:val="20"/>
                <w:szCs w:val="20"/>
              </w:rPr>
              <w:t xml:space="preserve">21.5</w:t>
            </w:r>
          </w:p>
        </w:tc>
      </w:tr>
      <w:tr>
        <w:tc>
          <w:tcPr>
            <w:tcW w:type="dxa" w:w="36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16</w:t>
            </w:r>
          </w:p>
        </w:tc>
        <w:tc>
          <w:tcPr>
            <w:tcW w:type="dxa" w:w="32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I Found My Own Strength</w:t>
            </w:r>
          </w:p>
        </w:tc>
        <w:tc>
          <w:tcPr>
            <w:tcW w:type="dxa" w:w="1300"/>
            <w:tcBorders>
              <w:top w:val="single" w:color="D0D0D0" w:sz="1"/>
              <w:left w:val="single" w:color="D0D0D0" w:sz="1"/>
              <w:bottom w:val="single" w:color="D0D0D0" w:sz="1"/>
              <w:right w:val="single" w:color="D0D0D0" w:sz="1"/>
            </w:tcBorders>
            <w:shd w:fill="F1FAF9" w:val="clear"/>
          </w:tcPr>
          <w:p>
            <w:pPr>
              <w:spacing w:after="60" w:before="60"/>
              <w:jc w:val="right"/>
            </w:pPr>
            <w:r>
              <w:rPr>
                <w:rFonts w:ascii="Arial" w:cs="Arial" w:eastAsia="Arial" w:hAnsi="Arial"/>
                <w:b w:val="false"/>
                <w:bCs w:val="false"/>
                <w:color w:val="2C3E50"/>
                <w:sz w:val="20"/>
                <w:szCs w:val="20"/>
              </w:rPr>
              <w:t xml:space="preserve">51,675</w:t>
            </w:r>
          </w:p>
        </w:tc>
        <w:tc>
          <w:tcPr>
            <w:tcW w:type="dxa" w:w="7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80</w:t>
            </w:r>
          </w:p>
        </w:tc>
        <w:tc>
          <w:tcPr>
            <w:tcW w:type="dxa" w:w="1600"/>
            <w:tcBorders>
              <w:top w:val="single" w:color="D0D0D0" w:sz="1"/>
              <w:left w:val="single" w:color="D0D0D0" w:sz="1"/>
              <w:bottom w:val="single" w:color="D0D0D0" w:sz="1"/>
              <w:right w:val="single" w:color="D0D0D0" w:sz="1"/>
            </w:tcBorders>
            <w:shd w:fill="F1FAF9" w:val="clear"/>
          </w:tcPr>
          <w:p>
            <w:pPr>
              <w:spacing w:after="60" w:before="60"/>
              <w:jc w:val="right"/>
            </w:pPr>
            <w:r>
              <w:rPr>
                <w:rFonts w:ascii="Arial" w:cs="Arial" w:eastAsia="Arial" w:hAnsi="Arial"/>
                <w:b w:val="false"/>
                <w:bCs w:val="false"/>
                <w:color w:val="2C3E50"/>
                <w:sz w:val="20"/>
                <w:szCs w:val="20"/>
              </w:rPr>
              <w:t xml:space="preserve">1,094,377</w:t>
            </w:r>
          </w:p>
        </w:tc>
        <w:tc>
          <w:tcPr>
            <w:tcW w:type="dxa" w:w="12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00897B"/>
                <w:sz w:val="20"/>
                <w:szCs w:val="20"/>
              </w:rPr>
              <w:t xml:space="preserve">21.2</w:t>
            </w:r>
          </w:p>
        </w:tc>
      </w:tr>
      <w:tr>
        <w:tc>
          <w:tcPr>
            <w:tcW w:type="dxa" w:w="36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17</w:t>
            </w:r>
          </w:p>
        </w:tc>
        <w:tc>
          <w:tcPr>
            <w:tcW w:type="dxa" w:w="32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I Raised Our Child Alone</w:t>
            </w:r>
          </w:p>
        </w:tc>
        <w:tc>
          <w:tcPr>
            <w:tcW w:type="dxa" w:w="1300"/>
            <w:tcBorders>
              <w:top w:val="single" w:color="D0D0D0" w:sz="1"/>
              <w:left w:val="single" w:color="D0D0D0" w:sz="1"/>
              <w:bottom w:val="single" w:color="D0D0D0" w:sz="1"/>
              <w:right w:val="single" w:color="D0D0D0" w:sz="1"/>
            </w:tcBorders>
            <w:shd w:fill="F1FAF9" w:val="clear"/>
          </w:tcPr>
          <w:p>
            <w:pPr>
              <w:spacing w:after="60" w:before="60"/>
              <w:jc w:val="right"/>
            </w:pPr>
            <w:r>
              <w:rPr>
                <w:rFonts w:ascii="Arial" w:cs="Arial" w:eastAsia="Arial" w:hAnsi="Arial"/>
                <w:b w:val="false"/>
                <w:bCs w:val="false"/>
                <w:color w:val="2C3E50"/>
                <w:sz w:val="20"/>
                <w:szCs w:val="20"/>
              </w:rPr>
              <w:t xml:space="preserve">48,032</w:t>
            </w:r>
          </w:p>
        </w:tc>
        <w:tc>
          <w:tcPr>
            <w:tcW w:type="dxa" w:w="7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60</w:t>
            </w:r>
          </w:p>
        </w:tc>
        <w:tc>
          <w:tcPr>
            <w:tcW w:type="dxa" w:w="1600"/>
            <w:tcBorders>
              <w:top w:val="single" w:color="D0D0D0" w:sz="1"/>
              <w:left w:val="single" w:color="D0D0D0" w:sz="1"/>
              <w:bottom w:val="single" w:color="D0D0D0" w:sz="1"/>
              <w:right w:val="single" w:color="D0D0D0" w:sz="1"/>
            </w:tcBorders>
            <w:shd w:fill="F1FAF9" w:val="clear"/>
          </w:tcPr>
          <w:p>
            <w:pPr>
              <w:spacing w:after="60" w:before="60"/>
              <w:jc w:val="right"/>
            </w:pPr>
            <w:r>
              <w:rPr>
                <w:rFonts w:ascii="Arial" w:cs="Arial" w:eastAsia="Arial" w:hAnsi="Arial"/>
                <w:b w:val="false"/>
                <w:bCs w:val="false"/>
                <w:color w:val="2C3E50"/>
                <w:sz w:val="20"/>
                <w:szCs w:val="20"/>
              </w:rPr>
              <w:t xml:space="preserve">1,427,952</w:t>
            </w:r>
          </w:p>
        </w:tc>
        <w:tc>
          <w:tcPr>
            <w:tcW w:type="dxa" w:w="12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00897B"/>
                <w:sz w:val="20"/>
                <w:szCs w:val="20"/>
              </w:rPr>
              <w:t xml:space="preserve">29.7</w:t>
            </w:r>
          </w:p>
        </w:tc>
      </w:tr>
      <w:tr>
        <w:tc>
          <w:tcPr>
            <w:tcW w:type="dxa" w:w="36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18</w:t>
            </w:r>
          </w:p>
        </w:tc>
        <w:tc>
          <w:tcPr>
            <w:tcW w:type="dxa" w:w="3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Tempted By The Boss's Wife</w:t>
            </w:r>
          </w:p>
        </w:tc>
        <w:tc>
          <w:tcPr>
            <w:tcW w:type="dxa" w:w="13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47,538</w:t>
            </w:r>
          </w:p>
        </w:tc>
        <w:tc>
          <w:tcPr>
            <w:tcW w:type="dxa" w:w="7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50</w:t>
            </w:r>
          </w:p>
        </w:tc>
        <w:tc>
          <w:tcPr>
            <w:tcW w:type="dxa" w:w="16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423,819</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888888"/>
                <w:sz w:val="20"/>
                <w:szCs w:val="20"/>
              </w:rPr>
              <w:t xml:space="preserve">8.9</w:t>
            </w:r>
          </w:p>
        </w:tc>
      </w:tr>
      <w:tr>
        <w:tc>
          <w:tcPr>
            <w:tcW w:type="dxa" w:w="36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19</w:t>
            </w:r>
          </w:p>
        </w:tc>
        <w:tc>
          <w:tcPr>
            <w:tcW w:type="dxa" w:w="32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I Fell Twice For Him</w:t>
            </w:r>
          </w:p>
        </w:tc>
        <w:tc>
          <w:tcPr>
            <w:tcW w:type="dxa" w:w="1300"/>
            <w:tcBorders>
              <w:top w:val="single" w:color="D0D0D0" w:sz="1"/>
              <w:left w:val="single" w:color="D0D0D0" w:sz="1"/>
              <w:bottom w:val="single" w:color="D0D0D0" w:sz="1"/>
              <w:right w:val="single" w:color="D0D0D0" w:sz="1"/>
            </w:tcBorders>
            <w:shd w:fill="F1FAF9" w:val="clear"/>
          </w:tcPr>
          <w:p>
            <w:pPr>
              <w:spacing w:after="60" w:before="60"/>
              <w:jc w:val="right"/>
            </w:pPr>
            <w:r>
              <w:rPr>
                <w:rFonts w:ascii="Arial" w:cs="Arial" w:eastAsia="Arial" w:hAnsi="Arial"/>
                <w:b w:val="false"/>
                <w:bCs w:val="false"/>
                <w:color w:val="2C3E50"/>
                <w:sz w:val="20"/>
                <w:szCs w:val="20"/>
              </w:rPr>
              <w:t xml:space="preserve">47,318</w:t>
            </w:r>
          </w:p>
        </w:tc>
        <w:tc>
          <w:tcPr>
            <w:tcW w:type="dxa" w:w="7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61</w:t>
            </w:r>
          </w:p>
        </w:tc>
        <w:tc>
          <w:tcPr>
            <w:tcW w:type="dxa" w:w="1600"/>
            <w:tcBorders>
              <w:top w:val="single" w:color="D0D0D0" w:sz="1"/>
              <w:left w:val="single" w:color="D0D0D0" w:sz="1"/>
              <w:bottom w:val="single" w:color="D0D0D0" w:sz="1"/>
              <w:right w:val="single" w:color="D0D0D0" w:sz="1"/>
            </w:tcBorders>
            <w:shd w:fill="F1FAF9" w:val="clear"/>
          </w:tcPr>
          <w:p>
            <w:pPr>
              <w:spacing w:after="60" w:before="60"/>
              <w:jc w:val="right"/>
            </w:pPr>
            <w:r>
              <w:rPr>
                <w:rFonts w:ascii="Arial" w:cs="Arial" w:eastAsia="Arial" w:hAnsi="Arial"/>
                <w:b w:val="false"/>
                <w:bCs w:val="false"/>
                <w:color w:val="2C3E50"/>
                <w:sz w:val="20"/>
                <w:szCs w:val="20"/>
              </w:rPr>
              <w:t xml:space="preserve">949,344</w:t>
            </w:r>
          </w:p>
        </w:tc>
        <w:tc>
          <w:tcPr>
            <w:tcW w:type="dxa" w:w="12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00897B"/>
                <w:sz w:val="20"/>
                <w:szCs w:val="20"/>
              </w:rPr>
              <w:t xml:space="preserve">20.1</w:t>
            </w:r>
          </w:p>
        </w:tc>
      </w:tr>
      <w:tr>
        <w:tc>
          <w:tcPr>
            <w:tcW w:type="dxa" w:w="36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20</w:t>
            </w:r>
          </w:p>
        </w:tc>
        <w:tc>
          <w:tcPr>
            <w:tcW w:type="dxa" w:w="32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Flash Marriage: Mrs. Gu's Online Unmasking</w:t>
            </w:r>
          </w:p>
        </w:tc>
        <w:tc>
          <w:tcPr>
            <w:tcW w:type="dxa" w:w="13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45,148</w:t>
            </w:r>
          </w:p>
        </w:tc>
        <w:tc>
          <w:tcPr>
            <w:tcW w:type="dxa" w:w="7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90</w:t>
            </w:r>
          </w:p>
        </w:tc>
        <w:tc>
          <w:tcPr>
            <w:tcW w:type="dxa" w:w="16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1,478,358</w:t>
            </w:r>
          </w:p>
        </w:tc>
        <w:tc>
          <w:tcPr>
            <w:tcW w:type="dxa" w:w="12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C2185B"/>
                <w:sz w:val="20"/>
                <w:szCs w:val="20"/>
              </w:rPr>
              <w:t xml:space="preserve">32.7</w:t>
            </w:r>
          </w:p>
        </w:tc>
      </w:tr>
    </w:tbl>
    <w:p>
      <w:pPr>
        <w:pStyle w:val="Body"/>
      </w:pPr>
      <w:r>
        <w:t xml:space="preserve">MPC shading: Pink = Binge/Loyal (30+ min) | Teal = Steady Engagement (15–30 min) | White = Discovery/Sampling (&lt;15 min)</w:t>
      </w:r>
    </w:p>
    <w:p>
      <w:pPr>
        <w:spacing w:after="0" w:before="120"/>
      </w:pPr>
      <w:r>
        <w:t xml:space="preserve"/>
      </w:r>
    </w:p>
    <w:p>
      <w:pPr>
        <w:pStyle w:val="SubHeading"/>
      </w:pPr>
      <w:r>
        <w:t xml:space="preserve">Three Distinct Content Consumption Patterns</w:t>
      </w:r>
    </w:p>
    <w:p>
      <w:pPr>
        <w:pStyle w:val="SubHeading"/>
      </w:pPr>
      <w:r>
        <w:t xml:space="preserve">Pattern A — High Reach, Lower Depth (Discovery / Sampling)</w:t>
      </w:r>
    </w:p>
    <w:p>
      <w:pPr>
        <w:pStyle w:val="ListParagraph"/>
        <w:numPr>
          <w:ilvl w:val="0"/>
          <w:numId w:val="2"/>
        </w:numPr>
      </w:pPr>
      <w:r>
        <w:rPr>
          <w:rFonts w:ascii="Arial" w:cs="Arial" w:eastAsia="Arial" w:hAnsi="Arial"/>
          <w:color w:val="2C3E50"/>
          <w:sz w:val="21"/>
          <w:szCs w:val="21"/>
        </w:rPr>
        <w:t xml:space="preserve">Why Do You Love Me? (226K streamers, 10.1 MPC), My Cursed Kiss (150K, 6.8 MPC), Ek Badnaam Aashram (97K, 1.8 MPC).</w:t>
      </w:r>
    </w:p>
    <w:p>
      <w:pPr>
        <w:pStyle w:val="ListParagraph"/>
        <w:numPr>
          <w:ilvl w:val="0"/>
          <w:numId w:val="2"/>
        </w:numPr>
      </w:pPr>
      <w:r>
        <w:rPr>
          <w:rFonts w:ascii="Arial" w:cs="Arial" w:eastAsia="Arial" w:hAnsi="Arial"/>
          <w:color w:val="2C3E50"/>
          <w:sz w:val="21"/>
          <w:szCs w:val="21"/>
        </w:rPr>
        <w:t xml:space="preserve">High discovery reach driven by homepage placement, For You feed, or paid acquisition. Users sample but do not commit to sustained viewing.</w:t>
      </w:r>
    </w:p>
    <w:p>
      <w:pPr>
        <w:pStyle w:val="ListParagraph"/>
        <w:numPr>
          <w:ilvl w:val="0"/>
          <w:numId w:val="2"/>
        </w:numPr>
      </w:pPr>
      <w:r>
        <w:rPr>
          <w:rFonts w:ascii="Arial" w:cs="Arial" w:eastAsia="Arial" w:hAnsi="Arial"/>
          <w:color w:val="2C3E50"/>
          <w:sz w:val="21"/>
          <w:szCs w:val="21"/>
        </w:rPr>
        <w:t xml:space="preserve">Notable exception: Ek Badnaam Aashram has 97K streamers but only 1.8 MPC — the lowest in the top 20. As the sole apparent Hindi-language title, this suggests a distinct audience segment with a fundamentally different engagement profile, possibly short-form or trailer-like content behavior.</w:t>
      </w:r>
    </w:p>
    <w:p>
      <w:pPr>
        <w:pStyle w:val="SubHeading"/>
      </w:pPr>
      <w:r>
        <w:t xml:space="preserve">Pattern B — Lower Reach, Very High Depth (Binge / Loyal)</w:t>
      </w:r>
    </w:p>
    <w:p>
      <w:pPr>
        <w:pStyle w:val="ListParagraph"/>
        <w:numPr>
          <w:ilvl w:val="0"/>
          <w:numId w:val="2"/>
        </w:numPr>
      </w:pPr>
      <w:r>
        <w:rPr>
          <w:rFonts w:ascii="Arial" w:cs="Arial" w:eastAsia="Arial" w:hAnsi="Arial"/>
          <w:color w:val="2C3E50"/>
          <w:sz w:val="21"/>
          <w:szCs w:val="21"/>
        </w:rPr>
        <w:t xml:space="preserve">Our Love Is The Ocean Of Stars (126K, 35.9 MPC), Mr. Huo (122K, 31.8 MPC), The Cold CEO's Torturous Love Game (63K, 32.1 MPC), Flash Marriage (45K, 32.7 MPC).</w:t>
      </w:r>
    </w:p>
    <w:p>
      <w:pPr>
        <w:pStyle w:val="ListParagraph"/>
        <w:numPr>
          <w:ilvl w:val="0"/>
          <w:numId w:val="2"/>
        </w:numPr>
      </w:pPr>
      <w:r>
        <w:rPr>
          <w:rFonts w:ascii="Arial" w:cs="Arial" w:eastAsia="Arial" w:hAnsi="Arial"/>
          <w:color w:val="2C3E50"/>
          <w:sz w:val="21"/>
          <w:szCs w:val="21"/>
        </w:rPr>
        <w:t xml:space="preserve">Romance/CEO/marriage drama genre dominates this tier — users are watching 30+ minutes per session across many episodes, driven by narrative hook and emotional investment.</w:t>
      </w:r>
    </w:p>
    <w:p>
      <w:pPr>
        <w:pStyle w:val="ListParagraph"/>
        <w:numPr>
          <w:ilvl w:val="0"/>
          <w:numId w:val="2"/>
        </w:numPr>
      </w:pPr>
      <w:r>
        <w:rPr>
          <w:rFonts w:ascii="Arial" w:cs="Arial" w:eastAsia="Arial" w:hAnsi="Arial"/>
          <w:color w:val="2C3E50"/>
          <w:sz w:val="21"/>
          <w:szCs w:val="21"/>
        </w:rPr>
        <w:t xml:space="preserve">Despite lower reach than Pattern A, these shows generate disproportionate total watchtime. Our Love Is The Ocean Of Stars alone drove 4.5M minutes in 7 days.</w:t>
      </w:r>
    </w:p>
    <w:p>
      <w:pPr>
        <w:pStyle w:val="SubHeading"/>
      </w:pPr>
      <w:r>
        <w:t xml:space="preserve">Pattern C — Moderate Reach, Moderate Depth (Steady Engagement)</w:t>
      </w:r>
    </w:p>
    <w:p>
      <w:pPr>
        <w:pStyle w:val="ListParagraph"/>
        <w:numPr>
          <w:ilvl w:val="0"/>
          <w:numId w:val="2"/>
        </w:numPr>
      </w:pPr>
      <w:r>
        <w:rPr>
          <w:rFonts w:ascii="Arial" w:cs="Arial" w:eastAsia="Arial" w:hAnsi="Arial"/>
          <w:color w:val="2C3E50"/>
          <w:sz w:val="21"/>
          <w:szCs w:val="21"/>
        </w:rPr>
        <w:t xml:space="preserve">I Found My Own Strength (52K, 21.2 MPC), Love Found Me First (57K, 21.5 MPC), I Fell Twice For Him (47K, 20.1 MPC).</w:t>
      </w:r>
    </w:p>
    <w:p>
      <w:pPr>
        <w:pStyle w:val="ListParagraph"/>
        <w:numPr>
          <w:ilvl w:val="0"/>
          <w:numId w:val="2"/>
        </w:numPr>
      </w:pPr>
      <w:r>
        <w:rPr>
          <w:rFonts w:ascii="Arial" w:cs="Arial" w:eastAsia="Arial" w:hAnsi="Arial"/>
          <w:color w:val="2C3E50"/>
          <w:sz w:val="21"/>
          <w:szCs w:val="21"/>
        </w:rPr>
        <w:t xml:space="preserve">Empowerment and independence themes anchor this tier. Consistent 20+ min MPC across a mid-range audience suggests a loyal but non-binge audience with regular, habitual viewing.</w:t>
      </w:r>
    </w:p>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single" w:color="C2185B" w:sz="18"/>
              <w:bottom w:val="single" w:color="EEEEEE" w:sz="2"/>
              <w:right w:val="single" w:color="EEEEEE" w:sz="2"/>
            </w:tcBorders>
            <w:shd w:fill="FFF5F7" w:val="clear"/>
          </w:tcPr>
          <w:p>
            <w:pPr>
              <w:spacing w:after="120" w:before="120"/>
            </w:pPr>
            <w:r>
              <w:rPr>
                <w:rFonts w:ascii="Arial" w:cs="Arial" w:eastAsia="Arial" w:hAnsi="Arial"/>
                <w:b/>
                <w:bCs/>
                <w:color w:val="C2185B"/>
                <w:sz w:val="22"/>
                <w:szCs w:val="22"/>
              </w:rPr>
              <w:t xml:space="preserve">The MPC-Reach trade-off is a defining structural feature of Fatafat's content landscape: the highest-reach show (Why Do You Love Me? at 226K) has only 10.1 MPC, while the highest-MPC show (Ocean Of Stars at 35.9 MPC) has 126K streamers. Neither metric alone tells the full story — both must be tracked for persona profiling.</w:t>
            </w:r>
          </w:p>
        </w:tc>
      </w:tr>
    </w:tbl>
    <w:p>
      <w:pPr>
        <w:spacing w:after="0" w:before="200"/>
      </w:pPr>
      <w:r>
        <w:t xml:space="preserve"/>
      </w:r>
    </w:p>
    <w:p>
      <w:r>
        <w:br w:type="page"/>
      </w:r>
    </w:p>
    <w:p>
      <w:pPr>
        <w:pStyle w:val="SectionHeading"/>
      </w:pPr>
      <w:r>
        <w:t xml:space="preserve">Query 5 — Entry Behavior / Channel Distribution</w:t>
      </w:r>
    </w:p>
    <w:p>
      <w:pPr>
        <w:pStyle w:val="Body"/>
      </w:pPr>
      <w:r>
        <w:t xml:space="preserve">Source: fatafat.mxp_fatafat_player_engagement (dputmsource field) | Date: April 5, 2026</w:t>
      </w:r>
    </w:p>
    <w:p>
      <w:pPr>
        <w:pStyle w:val="Body"/>
      </w:pPr>
      <w:r>
        <w:t xml:space="preserve">The channel distribution query classifies each streaming session by its acquisition or re-engagement source, mapping dputmsource values into five categories: Paid (performance/branding media), Organic (direct/undefined source), Push Notification, Internal Ad, and OTT Notification.</w:t>
      </w:r>
    </w:p>
    <w:p>
      <w:pPr>
        <w:spacing w:after="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0"/>
              <w:bottom w:val="single" w:color="DDDDDD" w:sz="1"/>
              <w:right w:val="none"/>
            </w:tcBorders>
            <w:shd w:fill="FFF8E1" w:val="clear"/>
          </w:tcPr>
          <w:p>
            <w:pPr>
              <w:spacing w:after="80" w:before="80"/>
            </w:pPr>
            <w:r>
              <w:rPr>
                <w:rFonts w:ascii="Arial" w:cs="Arial" w:eastAsia="Arial" w:hAnsi="Arial"/>
                <w:b/>
                <w:bCs/>
                <w:color w:val="E65100"/>
                <w:sz w:val="21"/>
                <w:szCs w:val="21"/>
              </w:rPr>
              <w:t xml:space="preserve">Methodology Note: </w:t>
            </w:r>
            <w:r>
              <w:rPr>
                <w:rFonts w:ascii="Arial" w:cs="Arial" w:eastAsia="Arial" w:hAnsi="Arial"/>
                <w:color w:val="555555"/>
                <w:sz w:val="21"/>
                <w:szCs w:val="21"/>
              </w:rPr>
              <w:t xml:space="preserve">dputmsource is an approximate proxy for session source. A user can have both paid and organic sessions on the same day, meaning channel categories are not mutually exclusive — the sum of channel streamers exceeds the total unique streamers. For precise paid/organic attribution at the user level, AppsFlyer is the source of truth.</w:t>
            </w:r>
          </w:p>
        </w:tc>
      </w:tr>
    </w:tbl>
    <w:p>
      <w:pPr>
        <w:spacing w:after="0" w:before="80"/>
      </w:pPr>
      <w:r>
        <w:t xml:space="preserve"/>
      </w:r>
    </w:p>
    <w:p>
      <w:pPr>
        <w:spacing w:after="60" w:before="120"/>
        <w:jc w:val="center"/>
      </w:pPr>
      <w:r>
        <w:drawing>
          <wp:inline distT="0" distB="0" distL="0" distR="0">
            <wp:extent cx="5715000" cy="2952750"/>
            <wp:effectExtent t="0" r="0" b="0" l="0"/>
            <wp:docPr id="1" name="chart4_channels.png" descr="chart4_channels.png" title="chart4_chann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pStyle w:val="Caption"/>
      </w:pPr>
      <w:r>
        <w:rPr>
          <w:i/>
          <w:iCs/>
          <w:color w:val="666666"/>
          <w:sz w:val="18"/>
          <w:szCs w:val="18"/>
        </w:rPr>
        <w:t xml:space="preserve">Figure 5.1: Channel Distribution — Streamers vs Watchtime by Channel Category, April 5, 2026</w:t>
      </w:r>
    </w:p>
    <w:p>
      <w:pPr>
        <w:spacing w:after="0" w:before="80"/>
      </w:pPr>
      <w:r>
        <w:t xml:space="preserve"/>
      </w:r>
    </w:p>
    <w:p>
      <w:pPr>
        <w:pStyle w:val="SubHeading"/>
      </w:pPr>
      <w:r>
        <w:t xml:space="preserve">Data Table — Channel Distribution (April 5,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200"/>
        <w:gridCol w:w="1160"/>
        <w:gridCol w:w="1200"/>
      </w:tblGrid>
      <w:tr>
        <w:trPr>
          <w:tblHeader/>
        </w:trPr>
        <w:tc>
          <w:tcPr>
            <w:tcW w:type="dxa" w:w="18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Channel</w:t>
            </w:r>
          </w:p>
        </w:tc>
        <w:tc>
          <w:tcPr>
            <w:tcW w:type="dxa" w:w="14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Streamers (3s)</w:t>
            </w:r>
          </w:p>
        </w:tc>
        <w:tc>
          <w:tcPr>
            <w:tcW w:type="dxa" w:w="18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Watchtime (min)</w:t>
            </w:r>
          </w:p>
        </w:tc>
        <w:tc>
          <w:tcPr>
            <w:tcW w:type="dxa" w:w="1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 Streamers</w:t>
            </w:r>
          </w:p>
        </w:tc>
        <w:tc>
          <w:tcPr>
            <w:tcW w:type="dxa" w:w="11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MPC (min)</w:t>
            </w:r>
          </w:p>
        </w:tc>
        <w:tc>
          <w:tcPr>
            <w:tcW w:type="dxa" w:w="1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 Watchtime</w:t>
            </w:r>
          </w:p>
        </w:tc>
      </w:tr>
      <w:tr>
        <w:tc>
          <w:tcPr>
            <w:tcW w:type="dxa" w:w="18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bCs/>
                <w:color w:val="2C3E50"/>
                <w:sz w:val="20"/>
                <w:szCs w:val="20"/>
              </w:rPr>
              <w:t xml:space="preserve">Paid</w:t>
            </w:r>
          </w:p>
        </w:tc>
        <w:tc>
          <w:tcPr>
            <w:tcW w:type="dxa" w:w="14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209,169</w:t>
            </w:r>
          </w:p>
        </w:tc>
        <w:tc>
          <w:tcPr>
            <w:tcW w:type="dxa" w:w="18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2,320,079</w:t>
            </w:r>
          </w:p>
        </w:tc>
        <w:tc>
          <w:tcPr>
            <w:tcW w:type="dxa" w:w="12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48.9%</w:t>
            </w:r>
          </w:p>
        </w:tc>
        <w:tc>
          <w:tcPr>
            <w:tcW w:type="dxa" w:w="116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2C3E50"/>
                <w:sz w:val="20"/>
                <w:szCs w:val="20"/>
              </w:rPr>
              <w:t xml:space="preserve">11.1</w:t>
            </w:r>
          </w:p>
        </w:tc>
        <w:tc>
          <w:tcPr>
            <w:tcW w:type="dxa" w:w="12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25.4%</w:t>
            </w:r>
          </w:p>
        </w:tc>
      </w:tr>
      <w:tr>
        <w:tc>
          <w:tcPr>
            <w:tcW w:type="dxa" w:w="18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bCs/>
                <w:color w:val="2C3E50"/>
                <w:sz w:val="20"/>
                <w:szCs w:val="20"/>
              </w:rPr>
              <w:t xml:space="preserve">Organic</w:t>
            </w:r>
          </w:p>
        </w:tc>
        <w:tc>
          <w:tcPr>
            <w:tcW w:type="dxa" w:w="1400"/>
            <w:tcBorders>
              <w:top w:val="single" w:color="D0D0D0" w:sz="1"/>
              <w:left w:val="single" w:color="D0D0D0" w:sz="1"/>
              <w:bottom w:val="single" w:color="D0D0D0" w:sz="1"/>
              <w:right w:val="single" w:color="D0D0D0" w:sz="1"/>
            </w:tcBorders>
            <w:shd w:fill="F1FAF9" w:val="clear"/>
          </w:tcPr>
          <w:p>
            <w:pPr>
              <w:spacing w:after="60" w:before="60"/>
              <w:jc w:val="right"/>
            </w:pPr>
            <w:r>
              <w:rPr>
                <w:rFonts w:ascii="Arial" w:cs="Arial" w:eastAsia="Arial" w:hAnsi="Arial"/>
                <w:b w:val="false"/>
                <w:bCs w:val="false"/>
                <w:color w:val="2C3E50"/>
                <w:sz w:val="20"/>
                <w:szCs w:val="20"/>
              </w:rPr>
              <w:t xml:space="preserve">168,456</w:t>
            </w:r>
          </w:p>
        </w:tc>
        <w:tc>
          <w:tcPr>
            <w:tcW w:type="dxa" w:w="1800"/>
            <w:tcBorders>
              <w:top w:val="single" w:color="D0D0D0" w:sz="1"/>
              <w:left w:val="single" w:color="D0D0D0" w:sz="1"/>
              <w:bottom w:val="single" w:color="D0D0D0" w:sz="1"/>
              <w:right w:val="single" w:color="D0D0D0" w:sz="1"/>
            </w:tcBorders>
            <w:shd w:fill="F1FAF9" w:val="clear"/>
          </w:tcPr>
          <w:p>
            <w:pPr>
              <w:spacing w:after="60" w:before="60"/>
              <w:jc w:val="right"/>
            </w:pPr>
            <w:r>
              <w:rPr>
                <w:rFonts w:ascii="Arial" w:cs="Arial" w:eastAsia="Arial" w:hAnsi="Arial"/>
                <w:b w:val="false"/>
                <w:bCs w:val="false"/>
                <w:color w:val="2C3E50"/>
                <w:sz w:val="20"/>
                <w:szCs w:val="20"/>
              </w:rPr>
              <w:t xml:space="preserve">6,654,046</w:t>
            </w:r>
          </w:p>
        </w:tc>
        <w:tc>
          <w:tcPr>
            <w:tcW w:type="dxa" w:w="12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39.4%</w:t>
            </w:r>
          </w:p>
        </w:tc>
        <w:tc>
          <w:tcPr>
            <w:tcW w:type="dxa" w:w="116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bCs/>
                <w:color w:val="2C3E50"/>
                <w:sz w:val="20"/>
                <w:szCs w:val="20"/>
              </w:rPr>
              <w:t xml:space="preserve">39.5</w:t>
            </w:r>
          </w:p>
        </w:tc>
        <w:tc>
          <w:tcPr>
            <w:tcW w:type="dxa" w:w="12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72.9%</w:t>
            </w:r>
          </w:p>
        </w:tc>
      </w:tr>
      <w:tr>
        <w:tc>
          <w:tcPr>
            <w:tcW w:type="dxa" w:w="180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bCs/>
                <w:color w:val="2C3E50"/>
                <w:sz w:val="20"/>
                <w:szCs w:val="20"/>
              </w:rPr>
              <w:t xml:space="preserve">Push Notification</w:t>
            </w:r>
          </w:p>
        </w:tc>
        <w:tc>
          <w:tcPr>
            <w:tcW w:type="dxa" w:w="1400"/>
            <w:tcBorders>
              <w:top w:val="single" w:color="D0D0D0" w:sz="1"/>
              <w:left w:val="single" w:color="D0D0D0" w:sz="1"/>
              <w:bottom w:val="single" w:color="D0D0D0" w:sz="1"/>
              <w:right w:val="single" w:color="D0D0D0" w:sz="1"/>
            </w:tcBorders>
            <w:shd w:fill="FFF8E1" w:val="clear"/>
          </w:tcPr>
          <w:p>
            <w:pPr>
              <w:spacing w:after="60" w:before="60"/>
              <w:jc w:val="right"/>
            </w:pPr>
            <w:r>
              <w:rPr>
                <w:rFonts w:ascii="Arial" w:cs="Arial" w:eastAsia="Arial" w:hAnsi="Arial"/>
                <w:b w:val="false"/>
                <w:bCs w:val="false"/>
                <w:color w:val="2C3E50"/>
                <w:sz w:val="20"/>
                <w:szCs w:val="20"/>
              </w:rPr>
              <w:t xml:space="preserve">32,646</w:t>
            </w:r>
          </w:p>
        </w:tc>
        <w:tc>
          <w:tcPr>
            <w:tcW w:type="dxa" w:w="1800"/>
            <w:tcBorders>
              <w:top w:val="single" w:color="D0D0D0" w:sz="1"/>
              <w:left w:val="single" w:color="D0D0D0" w:sz="1"/>
              <w:bottom w:val="single" w:color="D0D0D0" w:sz="1"/>
              <w:right w:val="single" w:color="D0D0D0" w:sz="1"/>
            </w:tcBorders>
            <w:shd w:fill="FFF8E1" w:val="clear"/>
          </w:tcPr>
          <w:p>
            <w:pPr>
              <w:spacing w:after="60" w:before="60"/>
              <w:jc w:val="right"/>
            </w:pPr>
            <w:r>
              <w:rPr>
                <w:rFonts w:ascii="Arial" w:cs="Arial" w:eastAsia="Arial" w:hAnsi="Arial"/>
                <w:b w:val="false"/>
                <w:bCs w:val="false"/>
                <w:color w:val="2C3E50"/>
                <w:sz w:val="20"/>
                <w:szCs w:val="20"/>
              </w:rPr>
              <w:t xml:space="preserve">113,120</w:t>
            </w:r>
          </w:p>
        </w:tc>
        <w:tc>
          <w:tcPr>
            <w:tcW w:type="dxa" w:w="1200"/>
            <w:tcBorders>
              <w:top w:val="single" w:color="D0D0D0" w:sz="1"/>
              <w:left w:val="single" w:color="D0D0D0" w:sz="1"/>
              <w:bottom w:val="single" w:color="D0D0D0" w:sz="1"/>
              <w:right w:val="single" w:color="D0D0D0" w:sz="1"/>
            </w:tcBorders>
            <w:shd w:fill="FFF8E1" w:val="clear"/>
          </w:tcPr>
          <w:p>
            <w:pPr>
              <w:spacing w:after="60" w:before="60"/>
              <w:jc w:val="center"/>
            </w:pPr>
            <w:r>
              <w:rPr>
                <w:rFonts w:ascii="Arial" w:cs="Arial" w:eastAsia="Arial" w:hAnsi="Arial"/>
                <w:b w:val="false"/>
                <w:bCs w:val="false"/>
                <w:color w:val="2C3E50"/>
                <w:sz w:val="20"/>
                <w:szCs w:val="20"/>
              </w:rPr>
              <w:t xml:space="preserve">7.6%</w:t>
            </w:r>
          </w:p>
        </w:tc>
        <w:tc>
          <w:tcPr>
            <w:tcW w:type="dxa" w:w="1160"/>
            <w:tcBorders>
              <w:top w:val="single" w:color="D0D0D0" w:sz="1"/>
              <w:left w:val="single" w:color="D0D0D0" w:sz="1"/>
              <w:bottom w:val="single" w:color="D0D0D0" w:sz="1"/>
              <w:right w:val="single" w:color="D0D0D0" w:sz="1"/>
            </w:tcBorders>
            <w:shd w:fill="FFF8E1" w:val="clear"/>
          </w:tcPr>
          <w:p>
            <w:pPr>
              <w:spacing w:after="60" w:before="60"/>
              <w:jc w:val="center"/>
            </w:pPr>
            <w:r>
              <w:rPr>
                <w:rFonts w:ascii="Arial" w:cs="Arial" w:eastAsia="Arial" w:hAnsi="Arial"/>
                <w:b/>
                <w:bCs/>
                <w:color w:val="2C3E50"/>
                <w:sz w:val="20"/>
                <w:szCs w:val="20"/>
              </w:rPr>
              <w:t xml:space="preserve">3.5</w:t>
            </w:r>
          </w:p>
        </w:tc>
        <w:tc>
          <w:tcPr>
            <w:tcW w:type="dxa" w:w="1200"/>
            <w:tcBorders>
              <w:top w:val="single" w:color="D0D0D0" w:sz="1"/>
              <w:left w:val="single" w:color="D0D0D0" w:sz="1"/>
              <w:bottom w:val="single" w:color="D0D0D0" w:sz="1"/>
              <w:right w:val="single" w:color="D0D0D0" w:sz="1"/>
            </w:tcBorders>
            <w:shd w:fill="FFF8E1" w:val="clear"/>
          </w:tcPr>
          <w:p>
            <w:pPr>
              <w:spacing w:after="60" w:before="60"/>
              <w:jc w:val="center"/>
            </w:pPr>
            <w:r>
              <w:rPr>
                <w:rFonts w:ascii="Arial" w:cs="Arial" w:eastAsia="Arial" w:hAnsi="Arial"/>
                <w:b w:val="false"/>
                <w:bCs w:val="false"/>
                <w:color w:val="2C3E50"/>
                <w:sz w:val="20"/>
                <w:szCs w:val="20"/>
              </w:rPr>
              <w:t xml:space="preserve">1.2%</w:t>
            </w:r>
          </w:p>
        </w:tc>
      </w:tr>
      <w:tr>
        <w:tc>
          <w:tcPr>
            <w:tcW w:type="dxa" w:w="1800"/>
            <w:tcBorders>
              <w:top w:val="single" w:color="D0D0D0" w:sz="1"/>
              <w:left w:val="single" w:color="D0D0D0" w:sz="1"/>
              <w:bottom w:val="single" w:color="D0D0D0" w:sz="1"/>
              <w:right w:val="single" w:color="D0D0D0" w:sz="1"/>
            </w:tcBorders>
            <w:shd w:fill="F3E5F5" w:val="clear"/>
          </w:tcPr>
          <w:p>
            <w:pPr>
              <w:spacing w:after="60" w:before="60"/>
              <w:jc w:val="left"/>
            </w:pPr>
            <w:r>
              <w:rPr>
                <w:rFonts w:ascii="Arial" w:cs="Arial" w:eastAsia="Arial" w:hAnsi="Arial"/>
                <w:b/>
                <w:bCs/>
                <w:color w:val="2C3E50"/>
                <w:sz w:val="20"/>
                <w:szCs w:val="20"/>
              </w:rPr>
              <w:t xml:space="preserve">Internal Ad</w:t>
            </w:r>
          </w:p>
        </w:tc>
        <w:tc>
          <w:tcPr>
            <w:tcW w:type="dxa" w:w="1400"/>
            <w:tcBorders>
              <w:top w:val="single" w:color="D0D0D0" w:sz="1"/>
              <w:left w:val="single" w:color="D0D0D0" w:sz="1"/>
              <w:bottom w:val="single" w:color="D0D0D0" w:sz="1"/>
              <w:right w:val="single" w:color="D0D0D0" w:sz="1"/>
            </w:tcBorders>
            <w:shd w:fill="F3E5F5" w:val="clear"/>
          </w:tcPr>
          <w:p>
            <w:pPr>
              <w:spacing w:after="60" w:before="60"/>
              <w:jc w:val="right"/>
            </w:pPr>
            <w:r>
              <w:rPr>
                <w:rFonts w:ascii="Arial" w:cs="Arial" w:eastAsia="Arial" w:hAnsi="Arial"/>
                <w:b w:val="false"/>
                <w:bCs w:val="false"/>
                <w:color w:val="2C3E50"/>
                <w:sz w:val="20"/>
                <w:szCs w:val="20"/>
              </w:rPr>
              <w:t xml:space="preserve">16,214</w:t>
            </w:r>
          </w:p>
        </w:tc>
        <w:tc>
          <w:tcPr>
            <w:tcW w:type="dxa" w:w="1800"/>
            <w:tcBorders>
              <w:top w:val="single" w:color="D0D0D0" w:sz="1"/>
              <w:left w:val="single" w:color="D0D0D0" w:sz="1"/>
              <w:bottom w:val="single" w:color="D0D0D0" w:sz="1"/>
              <w:right w:val="single" w:color="D0D0D0" w:sz="1"/>
            </w:tcBorders>
            <w:shd w:fill="F3E5F5" w:val="clear"/>
          </w:tcPr>
          <w:p>
            <w:pPr>
              <w:spacing w:after="60" w:before="60"/>
              <w:jc w:val="right"/>
            </w:pPr>
            <w:r>
              <w:rPr>
                <w:rFonts w:ascii="Arial" w:cs="Arial" w:eastAsia="Arial" w:hAnsi="Arial"/>
                <w:b w:val="false"/>
                <w:bCs w:val="false"/>
                <w:color w:val="2C3E50"/>
                <w:sz w:val="20"/>
                <w:szCs w:val="20"/>
              </w:rPr>
              <w:t xml:space="preserve">30,329</w:t>
            </w:r>
          </w:p>
        </w:tc>
        <w:tc>
          <w:tcPr>
            <w:tcW w:type="dxa" w:w="1200"/>
            <w:tcBorders>
              <w:top w:val="single" w:color="D0D0D0" w:sz="1"/>
              <w:left w:val="single" w:color="D0D0D0" w:sz="1"/>
              <w:bottom w:val="single" w:color="D0D0D0" w:sz="1"/>
              <w:right w:val="single" w:color="D0D0D0" w:sz="1"/>
            </w:tcBorders>
            <w:shd w:fill="F3E5F5" w:val="clear"/>
          </w:tcPr>
          <w:p>
            <w:pPr>
              <w:spacing w:after="60" w:before="60"/>
              <w:jc w:val="center"/>
            </w:pPr>
            <w:r>
              <w:rPr>
                <w:rFonts w:ascii="Arial" w:cs="Arial" w:eastAsia="Arial" w:hAnsi="Arial"/>
                <w:b w:val="false"/>
                <w:bCs w:val="false"/>
                <w:color w:val="2C3E50"/>
                <w:sz w:val="20"/>
                <w:szCs w:val="20"/>
              </w:rPr>
              <w:t xml:space="preserve">3.8%</w:t>
            </w:r>
          </w:p>
        </w:tc>
        <w:tc>
          <w:tcPr>
            <w:tcW w:type="dxa" w:w="1160"/>
            <w:tcBorders>
              <w:top w:val="single" w:color="D0D0D0" w:sz="1"/>
              <w:left w:val="single" w:color="D0D0D0" w:sz="1"/>
              <w:bottom w:val="single" w:color="D0D0D0" w:sz="1"/>
              <w:right w:val="single" w:color="D0D0D0" w:sz="1"/>
            </w:tcBorders>
            <w:shd w:fill="F3E5F5" w:val="clear"/>
          </w:tcPr>
          <w:p>
            <w:pPr>
              <w:spacing w:after="60" w:before="60"/>
              <w:jc w:val="center"/>
            </w:pPr>
            <w:r>
              <w:rPr>
                <w:rFonts w:ascii="Arial" w:cs="Arial" w:eastAsia="Arial" w:hAnsi="Arial"/>
                <w:b/>
                <w:bCs/>
                <w:color w:val="2C3E50"/>
                <w:sz w:val="20"/>
                <w:szCs w:val="20"/>
              </w:rPr>
              <w:t xml:space="preserve">1.9</w:t>
            </w:r>
          </w:p>
        </w:tc>
        <w:tc>
          <w:tcPr>
            <w:tcW w:type="dxa" w:w="1200"/>
            <w:tcBorders>
              <w:top w:val="single" w:color="D0D0D0" w:sz="1"/>
              <w:left w:val="single" w:color="D0D0D0" w:sz="1"/>
              <w:bottom w:val="single" w:color="D0D0D0" w:sz="1"/>
              <w:right w:val="single" w:color="D0D0D0" w:sz="1"/>
            </w:tcBorders>
            <w:shd w:fill="F3E5F5" w:val="clear"/>
          </w:tcPr>
          <w:p>
            <w:pPr>
              <w:spacing w:after="60" w:before="60"/>
              <w:jc w:val="center"/>
            </w:pPr>
            <w:r>
              <w:rPr>
                <w:rFonts w:ascii="Arial" w:cs="Arial" w:eastAsia="Arial" w:hAnsi="Arial"/>
                <w:b w:val="false"/>
                <w:bCs w:val="false"/>
                <w:color w:val="2C3E50"/>
                <w:sz w:val="20"/>
                <w:szCs w:val="20"/>
              </w:rPr>
              <w:t xml:space="preserve">0.3%</w:t>
            </w:r>
          </w:p>
        </w:tc>
      </w:tr>
      <w:tr>
        <w:tc>
          <w:tcPr>
            <w:tcW w:type="dxa" w:w="1800"/>
            <w:tcBorders>
              <w:top w:val="single" w:color="D0D0D0" w:sz="1"/>
              <w:left w:val="single" w:color="D0D0D0" w:sz="1"/>
              <w:bottom w:val="single" w:color="D0D0D0" w:sz="1"/>
              <w:right w:val="single" w:color="D0D0D0" w:sz="1"/>
            </w:tcBorders>
            <w:shd w:fill="EEF6F4" w:val="clear"/>
          </w:tcPr>
          <w:p>
            <w:pPr>
              <w:spacing w:after="60" w:before="60"/>
              <w:jc w:val="left"/>
            </w:pPr>
            <w:r>
              <w:rPr>
                <w:rFonts w:ascii="Arial" w:cs="Arial" w:eastAsia="Arial" w:hAnsi="Arial"/>
                <w:b/>
                <w:bCs/>
                <w:color w:val="2C3E50"/>
                <w:sz w:val="20"/>
                <w:szCs w:val="20"/>
              </w:rPr>
              <w:t xml:space="preserve">OTT Notification</w:t>
            </w:r>
          </w:p>
        </w:tc>
        <w:tc>
          <w:tcPr>
            <w:tcW w:type="dxa" w:w="1400"/>
            <w:tcBorders>
              <w:top w:val="single" w:color="D0D0D0" w:sz="1"/>
              <w:left w:val="single" w:color="D0D0D0" w:sz="1"/>
              <w:bottom w:val="single" w:color="D0D0D0" w:sz="1"/>
              <w:right w:val="single" w:color="D0D0D0" w:sz="1"/>
            </w:tcBorders>
            <w:shd w:fill="EEF6F4" w:val="clear"/>
          </w:tcPr>
          <w:p>
            <w:pPr>
              <w:spacing w:after="60" w:before="60"/>
              <w:jc w:val="right"/>
            </w:pPr>
            <w:r>
              <w:rPr>
                <w:rFonts w:ascii="Arial" w:cs="Arial" w:eastAsia="Arial" w:hAnsi="Arial"/>
                <w:b w:val="false"/>
                <w:bCs w:val="false"/>
                <w:color w:val="2C3E50"/>
                <w:sz w:val="20"/>
                <w:szCs w:val="20"/>
              </w:rPr>
              <w:t xml:space="preserve">1,147</w:t>
            </w:r>
          </w:p>
        </w:tc>
        <w:tc>
          <w:tcPr>
            <w:tcW w:type="dxa" w:w="1800"/>
            <w:tcBorders>
              <w:top w:val="single" w:color="D0D0D0" w:sz="1"/>
              <w:left w:val="single" w:color="D0D0D0" w:sz="1"/>
              <w:bottom w:val="single" w:color="D0D0D0" w:sz="1"/>
              <w:right w:val="single" w:color="D0D0D0" w:sz="1"/>
            </w:tcBorders>
            <w:shd w:fill="EEF6F4" w:val="clear"/>
          </w:tcPr>
          <w:p>
            <w:pPr>
              <w:spacing w:after="60" w:before="60"/>
              <w:jc w:val="right"/>
            </w:pPr>
            <w:r>
              <w:rPr>
                <w:rFonts w:ascii="Arial" w:cs="Arial" w:eastAsia="Arial" w:hAnsi="Arial"/>
                <w:b w:val="false"/>
                <w:bCs w:val="false"/>
                <w:color w:val="2C3E50"/>
                <w:sz w:val="20"/>
                <w:szCs w:val="20"/>
              </w:rPr>
              <w:t xml:space="preserve">14,235</w:t>
            </w:r>
          </w:p>
        </w:tc>
        <w:tc>
          <w:tcPr>
            <w:tcW w:type="dxa" w:w="1200"/>
            <w:tcBorders>
              <w:top w:val="single" w:color="D0D0D0" w:sz="1"/>
              <w:left w:val="single" w:color="D0D0D0" w:sz="1"/>
              <w:bottom w:val="single" w:color="D0D0D0" w:sz="1"/>
              <w:right w:val="single" w:color="D0D0D0" w:sz="1"/>
            </w:tcBorders>
            <w:shd w:fill="EEF6F4" w:val="clear"/>
          </w:tcPr>
          <w:p>
            <w:pPr>
              <w:spacing w:after="60" w:before="60"/>
              <w:jc w:val="center"/>
            </w:pPr>
            <w:r>
              <w:rPr>
                <w:rFonts w:ascii="Arial" w:cs="Arial" w:eastAsia="Arial" w:hAnsi="Arial"/>
                <w:b w:val="false"/>
                <w:bCs w:val="false"/>
                <w:color w:val="2C3E50"/>
                <w:sz w:val="20"/>
                <w:szCs w:val="20"/>
              </w:rPr>
              <w:t xml:space="preserve">0.3%</w:t>
            </w:r>
          </w:p>
        </w:tc>
        <w:tc>
          <w:tcPr>
            <w:tcW w:type="dxa" w:w="1160"/>
            <w:tcBorders>
              <w:top w:val="single" w:color="D0D0D0" w:sz="1"/>
              <w:left w:val="single" w:color="D0D0D0" w:sz="1"/>
              <w:bottom w:val="single" w:color="D0D0D0" w:sz="1"/>
              <w:right w:val="single" w:color="D0D0D0" w:sz="1"/>
            </w:tcBorders>
            <w:shd w:fill="EEF6F4" w:val="clear"/>
          </w:tcPr>
          <w:p>
            <w:pPr>
              <w:spacing w:after="60" w:before="60"/>
              <w:jc w:val="center"/>
            </w:pPr>
            <w:r>
              <w:rPr>
                <w:rFonts w:ascii="Arial" w:cs="Arial" w:eastAsia="Arial" w:hAnsi="Arial"/>
                <w:b/>
                <w:bCs/>
                <w:color w:val="2C3E50"/>
                <w:sz w:val="20"/>
                <w:szCs w:val="20"/>
              </w:rPr>
              <w:t xml:space="preserve">12.4</w:t>
            </w:r>
          </w:p>
        </w:tc>
        <w:tc>
          <w:tcPr>
            <w:tcW w:type="dxa" w:w="1200"/>
            <w:tcBorders>
              <w:top w:val="single" w:color="D0D0D0" w:sz="1"/>
              <w:left w:val="single" w:color="D0D0D0" w:sz="1"/>
              <w:bottom w:val="single" w:color="D0D0D0" w:sz="1"/>
              <w:right w:val="single" w:color="D0D0D0" w:sz="1"/>
            </w:tcBorders>
            <w:shd w:fill="EEF6F4" w:val="clear"/>
          </w:tcPr>
          <w:p>
            <w:pPr>
              <w:spacing w:after="60" w:before="60"/>
              <w:jc w:val="center"/>
            </w:pPr>
            <w:r>
              <w:rPr>
                <w:rFonts w:ascii="Arial" w:cs="Arial" w:eastAsia="Arial" w:hAnsi="Arial"/>
                <w:b w:val="false"/>
                <w:bCs w:val="false"/>
                <w:color w:val="2C3E50"/>
                <w:sz w:val="20"/>
                <w:szCs w:val="20"/>
              </w:rPr>
              <w:t xml:space="preserve">0.2%</w:t>
            </w:r>
          </w:p>
        </w:tc>
      </w:tr>
    </w:tbl>
    <w:p>
      <w:pPr>
        <w:spacing w:after="0" w:before="120"/>
      </w:pPr>
      <w:r>
        <w:t xml:space="preserve"/>
      </w:r>
    </w:p>
    <w:p>
      <w:pPr>
        <w:pStyle w:val="SubHeading"/>
      </w:pPr>
      <w:r>
        <w:t xml:space="preserve">Key Findings</w:t>
      </w:r>
    </w:p>
    <w:p>
      <w:pPr>
        <w:pStyle w:val="ListParagraph"/>
        <w:numPr>
          <w:ilvl w:val="0"/>
          <w:numId w:val="2"/>
        </w:numPr>
      </w:pPr>
      <w:r>
        <w:rPr>
          <w:rFonts w:ascii="Arial" w:cs="Arial" w:eastAsia="Arial" w:hAnsi="Arial"/>
          <w:color w:val="2C3E50"/>
          <w:sz w:val="21"/>
          <w:szCs w:val="21"/>
        </w:rPr>
        <w:t xml:space="preserve">Paid acquisition drives the most streamers (49%) but contributes only 25% of total watchtime — an efficiency ratio of approximately 0.51. For every dollar of paid reach, watchtime return is roughly half the platform average.</w:t>
      </w:r>
    </w:p>
    <w:p>
      <w:pPr>
        <w:pStyle w:val="ListParagraph"/>
        <w:numPr>
          <w:ilvl w:val="0"/>
          <w:numId w:val="2"/>
        </w:numPr>
      </w:pPr>
      <w:r>
        <w:rPr>
          <w:rFonts w:ascii="Arial" w:cs="Arial" w:eastAsia="Arial" w:hAnsi="Arial"/>
          <w:color w:val="2C3E50"/>
          <w:sz w:val="21"/>
          <w:szCs w:val="21"/>
        </w:rPr>
        <w:t xml:space="preserve">Organic users are the platform's depth engine: 39% of streamers but 73% of watchtime, with an MPC of 39.5 minutes — 3.6x higher than paid users (11.1 min). These are habitual, returning viewers who come to the platform on their own initiative.</w:t>
      </w:r>
    </w:p>
    <w:p>
      <w:pPr>
        <w:pStyle w:val="ListParagraph"/>
        <w:numPr>
          <w:ilvl w:val="0"/>
          <w:numId w:val="2"/>
        </w:numPr>
      </w:pPr>
      <w:r>
        <w:rPr>
          <w:rFonts w:ascii="Arial" w:cs="Arial" w:eastAsia="Arial" w:hAnsi="Arial"/>
          <w:color w:val="2C3E50"/>
          <w:sz w:val="21"/>
          <w:szCs w:val="21"/>
        </w:rPr>
        <w:t xml:space="preserve">Push Notifications drive 7.6% of streamers but with only 3.5 min MPC — users are opening the app in response to a notification but not staying engaged. This suggests notification content-match quality may need improvement.</w:t>
      </w:r>
    </w:p>
    <w:p>
      <w:pPr>
        <w:pStyle w:val="ListParagraph"/>
        <w:numPr>
          <w:ilvl w:val="0"/>
          <w:numId w:val="2"/>
        </w:numPr>
      </w:pPr>
      <w:r>
        <w:rPr>
          <w:rFonts w:ascii="Arial" w:cs="Arial" w:eastAsia="Arial" w:hAnsi="Arial"/>
          <w:color w:val="2C3E50"/>
          <w:sz w:val="21"/>
          <w:szCs w:val="21"/>
        </w:rPr>
        <w:t xml:space="preserve">Internal Ads (3.8% of streamers, 1.9 MPC) represent the most transactional discovery behavior — users see an ad inside the AMXP ecosystem and click through, but engagement is minimal.</w:t>
      </w:r>
    </w:p>
    <w:p>
      <w:pPr>
        <w:pStyle w:val="ListParagraph"/>
        <w:numPr>
          <w:ilvl w:val="0"/>
          <w:numId w:val="2"/>
        </w:numPr>
      </w:pPr>
      <w:r>
        <w:rPr>
          <w:rFonts w:ascii="Arial" w:cs="Arial" w:eastAsia="Arial" w:hAnsi="Arial"/>
          <w:color w:val="2C3E50"/>
          <w:sz w:val="21"/>
          <w:szCs w:val="21"/>
        </w:rPr>
        <w:t xml:space="preserve">OTT Notifications are tiny (0.3%) but exhibit a 12.4 min MPC — higher than Push Notifications and comparable to paid engagement. This small cross-platform segment may punch above its weight and warrants dedicated persona monitoring.</w:t>
      </w:r>
    </w:p>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6"/>
              <w:left w:val="single" w:color="00897B" w:sz="14"/>
              <w:bottom w:val="single" w:color="DDDDDD" w:sz="2"/>
              <w:right w:val="single" w:color="DDDDDD" w:sz="1"/>
            </w:tcBorders>
            <w:shd w:fill="EEF6F4" w:val="clear"/>
          </w:tcPr>
          <w:p>
            <w:pPr>
              <w:spacing w:after="60" w:before="100"/>
            </w:pPr>
            <w:r>
              <w:rPr>
                <w:rFonts w:ascii="Arial" w:cs="Arial" w:eastAsia="Arial" w:hAnsi="Arial"/>
                <w:b/>
                <w:bCs/>
                <w:caps/>
                <w:color w:val="00897B"/>
                <w:sz w:val="19"/>
                <w:szCs w:val="19"/>
              </w:rPr>
              <w:t xml:space="preserve">PERSONA DIMENSION</w:t>
            </w:r>
          </w:p>
          <w:p>
            <w:pPr>
              <w:spacing w:after="100" w:before="40"/>
            </w:pPr>
            <w:r>
              <w:rPr>
                <w:rFonts w:ascii="Arial" w:cs="Arial" w:eastAsia="Arial" w:hAnsi="Arial"/>
                <w:color w:val="333333"/>
                <w:sz w:val="21"/>
                <w:szCs w:val="21"/>
              </w:rPr>
              <w:t xml:space="preserve">Channel behavior splits the audience into two fundamental behavioral types: "Organic Depth" users (loyalists who return organically and watch deeply) and "Acquisition Surface" users (paid/push-driven samplers). This dimension must be incorporated as a primary clustering variable in Phase 2.</w:t>
            </w:r>
          </w:p>
        </w:tc>
      </w:tr>
    </w:tbl>
    <w:p>
      <w:pPr>
        <w:spacing w:after="0" w:before="200"/>
      </w:pPr>
      <w:r>
        <w:t xml:space="preserve"/>
      </w:r>
    </w:p>
    <w:p>
      <w:r>
        <w:br w:type="page"/>
      </w:r>
    </w:p>
    <w:p>
      <w:pPr>
        <w:pStyle w:val="SectionHeading"/>
      </w:pPr>
      <w:r>
        <w:t xml:space="preserve">Query 6 — Episode-Level Retention Curve</w:t>
      </w:r>
    </w:p>
    <w:p>
      <w:pPr>
        <w:pStyle w:val="Body"/>
      </w:pPr>
      <w:r>
        <w:t xml:space="preserve">Source: fatafat.mxp_fatafat_player_engagement joined to daily_cms_data_table (episode_number column) | Show: "Why Do You Love Me?" | Period: Mar 31 – Apr 5, 2026</w:t>
      </w:r>
    </w:p>
    <w:p>
      <w:pPr>
        <w:pStyle w:val="Body"/>
      </w:pPr>
      <w:r>
        <w:t xml:space="preserve">The retention curve query uses actual episode_number values from the CMS metadata table (cast to integer for correct sequential ordering) to map viewer drop-off and retention across all 80 episodes of Fatafat's most-watched show. This produces a true sequential retention curve — the foundational behavioral signature for persona construction.</w:t>
      </w:r>
    </w:p>
    <w:p>
      <w:pPr>
        <w:spacing w:after="0" w:before="80"/>
      </w:pPr>
      <w:r>
        <w:t xml:space="preserve"/>
      </w:r>
    </w:p>
    <w:p>
      <w:pPr>
        <w:spacing w:after="60" w:before="120"/>
        <w:jc w:val="center"/>
      </w:pPr>
      <w:r>
        <w:drawing>
          <wp:inline distT="0" distB="0" distL="0" distR="0">
            <wp:extent cx="6096000" cy="3238500"/>
            <wp:effectExtent t="0" r="0" b="0" l="0"/>
            <wp:docPr id="1" name="chart5_retention_curve.png" descr="chart5_retention_curve.png" title="chart5_retention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238500"/>
                    </a:xfrm>
                    <a:prstGeom prst="rect">
                      <a:avLst/>
                    </a:prstGeom>
                  </pic:spPr>
                </pic:pic>
              </a:graphicData>
            </a:graphic>
          </wp:inline>
        </w:drawing>
      </w:r>
    </w:p>
    <w:p>
      <w:pPr>
        <w:pStyle w:val="Caption"/>
      </w:pPr>
      <w:r>
        <w:rPr>
          <w:i/>
          <w:iCs/>
          <w:color w:val="666666"/>
          <w:sz w:val="18"/>
          <w:szCs w:val="18"/>
        </w:rPr>
        <w:t xml:space="preserve">Figure 6.1: Full 80-Episode Retention Curve — "Why Do You Love Me?" | Orange dashed lines = Progressive lock boundaries</w:t>
      </w:r>
    </w:p>
    <w:p>
      <w:pPr>
        <w:spacing w:after="0" w:before="80"/>
      </w:pPr>
      <w:r>
        <w:t xml:space="preserve"/>
      </w:r>
    </w:p>
    <w:p>
      <w:pPr>
        <w:spacing w:after="60" w:before="120"/>
        <w:jc w:val="center"/>
      </w:pPr>
      <w:r>
        <w:drawing>
          <wp:inline distT="0" distB="0" distL="0" distR="0">
            <wp:extent cx="5905500" cy="3086100"/>
            <wp:effectExtent t="0" r="0" b="0" l="0"/>
            <wp:docPr id="1" name="chart6_lock_boundary.png" descr="chart6_lock_boundary.png" title="chart6_lock_bound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086100"/>
                    </a:xfrm>
                    <a:prstGeom prst="rect">
                      <a:avLst/>
                    </a:prstGeom>
                  </pic:spPr>
                </pic:pic>
              </a:graphicData>
            </a:graphic>
          </wp:inline>
        </w:drawing>
      </w:r>
    </w:p>
    <w:p>
      <w:pPr>
        <w:pStyle w:val="Caption"/>
      </w:pPr>
      <w:r>
        <w:rPr>
          <w:i/>
          <w:iCs/>
          <w:color w:val="666666"/>
          <w:sz w:val="18"/>
          <w:szCs w:val="18"/>
        </w:rPr>
        <w:t xml:space="preserve">Figure 6.2: Lock Boundary Drop-off Analysis — Percentage and User Count at Each Progressive Lock Boundary</w:t>
      </w:r>
    </w:p>
    <w:p>
      <w:pPr>
        <w:spacing w:after="0" w:before="80"/>
      </w:pPr>
      <w:r>
        <w:t xml:space="preserve"/>
      </w:r>
    </w:p>
    <w:p>
      <w:pPr>
        <w:pStyle w:val="SubHeading"/>
      </w:pPr>
      <w:r>
        <w:t xml:space="preserve">Retention Milestones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400"/>
        <w:gridCol w:w="1500"/>
        <w:gridCol w:w="1500"/>
        <w:gridCol w:w="2260"/>
      </w:tblGrid>
      <w:tr>
        <w:trPr>
          <w:tblHeader/>
        </w:trPr>
        <w:tc>
          <w:tcPr>
            <w:tcW w:type="dxa" w:w="1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Episode</w:t>
            </w:r>
          </w:p>
        </w:tc>
        <w:tc>
          <w:tcPr>
            <w:tcW w:type="dxa" w:w="15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Streamers</w:t>
            </w:r>
          </w:p>
        </w:tc>
        <w:tc>
          <w:tcPr>
            <w:tcW w:type="dxa" w:w="14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Retention %</w:t>
            </w:r>
          </w:p>
        </w:tc>
        <w:tc>
          <w:tcPr>
            <w:tcW w:type="dxa" w:w="15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Change</w:t>
            </w:r>
          </w:p>
        </w:tc>
        <w:tc>
          <w:tcPr>
            <w:tcW w:type="dxa" w:w="15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Users Lost/Gained</w:t>
            </w:r>
          </w:p>
        </w:tc>
        <w:tc>
          <w:tcPr>
            <w:tcW w:type="dxa" w:w="22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Behavior Note</w:t>
            </w:r>
          </w:p>
        </w:tc>
      </w:tr>
      <w:tr>
        <w:tc>
          <w:tcPr>
            <w:tcW w:type="dxa" w:w="12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bCs/>
                <w:color w:val="2C3E50"/>
                <w:sz w:val="20"/>
                <w:szCs w:val="20"/>
              </w:rPr>
              <w:t xml:space="preserve">Ep 1 (Entry)</w:t>
            </w:r>
          </w:p>
        </w:tc>
        <w:tc>
          <w:tcPr>
            <w:tcW w:type="dxa" w:w="15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bCs/>
                <w:color w:val="2C3E50"/>
                <w:sz w:val="20"/>
                <w:szCs w:val="20"/>
              </w:rPr>
              <w:t xml:space="preserve">178,007</w:t>
            </w:r>
          </w:p>
        </w:tc>
        <w:tc>
          <w:tcPr>
            <w:tcW w:type="dxa" w:w="14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2C3E50"/>
                <w:sz w:val="20"/>
                <w:szCs w:val="20"/>
              </w:rPr>
              <w:t xml:space="preserve">100.0%</w:t>
            </w:r>
          </w:p>
        </w:tc>
        <w:tc>
          <w:tcPr>
            <w:tcW w:type="dxa" w:w="15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2C3E50"/>
                <w:sz w:val="20"/>
                <w:szCs w:val="20"/>
              </w:rPr>
              <w:t xml:space="preserve">—</w:t>
            </w:r>
          </w:p>
        </w:tc>
        <w:tc>
          <w:tcPr>
            <w:tcW w:type="dxa" w:w="15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bCs/>
                <w:color w:val="2C3E50"/>
                <w:sz w:val="20"/>
                <w:szCs w:val="20"/>
              </w:rPr>
              <w:t xml:space="preserve">—</w:t>
            </w:r>
          </w:p>
        </w:tc>
        <w:tc>
          <w:tcPr>
            <w:tcW w:type="dxa" w:w="226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555555"/>
                <w:sz w:val="20"/>
                <w:szCs w:val="20"/>
              </w:rPr>
              <w:t xml:space="preserve">Start: Full audience entry point</w:t>
            </w:r>
          </w:p>
        </w:tc>
      </w:tr>
      <w:tr>
        <w:tc>
          <w:tcPr>
            <w:tcW w:type="dxa" w:w="12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bCs/>
                <w:color w:val="2C3E50"/>
                <w:sz w:val="20"/>
                <w:szCs w:val="20"/>
              </w:rPr>
              <w:t xml:space="preserve">Ep 2</w:t>
            </w:r>
          </w:p>
        </w:tc>
        <w:tc>
          <w:tcPr>
            <w:tcW w:type="dxa" w:w="15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bCs/>
                <w:color w:val="2C3E50"/>
                <w:sz w:val="20"/>
                <w:szCs w:val="20"/>
              </w:rPr>
              <w:t xml:space="preserve">62,200</w:t>
            </w:r>
          </w:p>
        </w:tc>
        <w:tc>
          <w:tcPr>
            <w:tcW w:type="dxa" w:w="14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2C3E50"/>
                <w:sz w:val="20"/>
                <w:szCs w:val="20"/>
              </w:rPr>
              <w:t xml:space="preserve">34.9%</w:t>
            </w:r>
          </w:p>
        </w:tc>
        <w:tc>
          <w:tcPr>
            <w:tcW w:type="dxa" w:w="15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2C3E50"/>
                <w:sz w:val="20"/>
                <w:szCs w:val="20"/>
              </w:rPr>
              <w:t xml:space="preserve">-65.1%</w:t>
            </w:r>
          </w:p>
        </w:tc>
        <w:tc>
          <w:tcPr>
            <w:tcW w:type="dxa" w:w="15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bCs/>
                <w:color w:val="2C3E50"/>
                <w:sz w:val="20"/>
                <w:szCs w:val="20"/>
              </w:rPr>
              <w:t xml:space="preserve">-115,807</w:t>
            </w:r>
          </w:p>
        </w:tc>
        <w:tc>
          <w:tcPr>
            <w:tcW w:type="dxa" w:w="226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555555"/>
                <w:sz w:val="20"/>
                <w:szCs w:val="20"/>
              </w:rPr>
              <w:t xml:space="preserve">Biggest single drop — Sampler exit</w:t>
            </w:r>
          </w:p>
        </w:tc>
      </w:tr>
      <w:tr>
        <w:tc>
          <w:tcPr>
            <w:tcW w:type="dxa" w:w="12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Ep 3</w:t>
            </w:r>
          </w:p>
        </w:tc>
        <w:tc>
          <w:tcPr>
            <w:tcW w:type="dxa" w:w="15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46,171</w:t>
            </w:r>
          </w:p>
        </w:tc>
        <w:tc>
          <w:tcPr>
            <w:tcW w:type="dxa" w:w="14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25.9%</w:t>
            </w:r>
          </w:p>
        </w:tc>
        <w:tc>
          <w:tcPr>
            <w:tcW w:type="dxa" w:w="15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-25.8%</w:t>
            </w:r>
          </w:p>
        </w:tc>
        <w:tc>
          <w:tcPr>
            <w:tcW w:type="dxa" w:w="15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-16,029</w:t>
            </w:r>
          </w:p>
        </w:tc>
        <w:tc>
          <w:tcPr>
            <w:tcW w:type="dxa" w:w="22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555555"/>
                <w:sz w:val="20"/>
                <w:szCs w:val="20"/>
              </w:rPr>
              <w:t xml:space="preserve">Continued filtering of casual viewers</w:t>
            </w:r>
          </w:p>
        </w:tc>
      </w:tr>
      <w:tr>
        <w:tc>
          <w:tcPr>
            <w:tcW w:type="dxa" w:w="1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Ep 5 (pre-lock)</w:t>
            </w:r>
          </w:p>
        </w:tc>
        <w:tc>
          <w:tcPr>
            <w:tcW w:type="dxa" w:w="15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40,581</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22.8%</w:t>
            </w:r>
          </w:p>
        </w:tc>
        <w:tc>
          <w:tcPr>
            <w:tcW w:type="dxa" w:w="15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-4.4%</w:t>
            </w:r>
          </w:p>
        </w:tc>
        <w:tc>
          <w:tcPr>
            <w:tcW w:type="dxa" w:w="15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-5,590</w:t>
            </w:r>
          </w:p>
        </w:tc>
        <w:tc>
          <w:tcPr>
            <w:tcW w:type="dxa" w:w="22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555555"/>
                <w:sz w:val="20"/>
                <w:szCs w:val="20"/>
              </w:rPr>
              <w:t xml:space="preserve">Final free episode before 1st lock</w:t>
            </w:r>
          </w:p>
        </w:tc>
      </w:tr>
      <w:tr>
        <w:tc>
          <w:tcPr>
            <w:tcW w:type="dxa" w:w="12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bCs/>
                <w:color w:val="2C3E50"/>
                <w:sz w:val="20"/>
                <w:szCs w:val="20"/>
              </w:rPr>
              <w:t xml:space="preserve">Ep 6 (1st lock)</w:t>
            </w:r>
          </w:p>
        </w:tc>
        <w:tc>
          <w:tcPr>
            <w:tcW w:type="dxa" w:w="15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bCs/>
                <w:color w:val="2C3E50"/>
                <w:sz w:val="20"/>
                <w:szCs w:val="20"/>
              </w:rPr>
              <w:t xml:space="preserve">26,145</w:t>
            </w:r>
          </w:p>
        </w:tc>
        <w:tc>
          <w:tcPr>
            <w:tcW w:type="dxa" w:w="14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2C3E50"/>
                <w:sz w:val="20"/>
                <w:szCs w:val="20"/>
              </w:rPr>
              <w:t xml:space="preserve">14.7%</w:t>
            </w:r>
          </w:p>
        </w:tc>
        <w:tc>
          <w:tcPr>
            <w:tcW w:type="dxa" w:w="15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2C3E50"/>
                <w:sz w:val="20"/>
                <w:szCs w:val="20"/>
              </w:rPr>
              <w:t xml:space="preserve">-35.6%</w:t>
            </w:r>
          </w:p>
        </w:tc>
        <w:tc>
          <w:tcPr>
            <w:tcW w:type="dxa" w:w="15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bCs/>
                <w:color w:val="2C3E50"/>
                <w:sz w:val="20"/>
                <w:szCs w:val="20"/>
              </w:rPr>
              <w:t xml:space="preserve">-14,436</w:t>
            </w:r>
          </w:p>
        </w:tc>
        <w:tc>
          <w:tcPr>
            <w:tcW w:type="dxa" w:w="226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555555"/>
                <w:sz w:val="20"/>
                <w:szCs w:val="20"/>
              </w:rPr>
              <w:t xml:space="preserve">Lock gate: largest post-Ep1 drop</w:t>
            </w:r>
          </w:p>
        </w:tc>
      </w:tr>
      <w:tr>
        <w:tc>
          <w:tcPr>
            <w:tcW w:type="dxa" w:w="1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Ep 10</w:t>
            </w:r>
          </w:p>
        </w:tc>
        <w:tc>
          <w:tcPr>
            <w:tcW w:type="dxa" w:w="15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24,087</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13.5%</w:t>
            </w:r>
          </w:p>
        </w:tc>
        <w:tc>
          <w:tcPr>
            <w:tcW w:type="dxa" w:w="15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-1.2%/ep</w:t>
            </w:r>
          </w:p>
        </w:tc>
        <w:tc>
          <w:tcPr>
            <w:tcW w:type="dxa" w:w="15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-522/ep</w:t>
            </w:r>
          </w:p>
        </w:tc>
        <w:tc>
          <w:tcPr>
            <w:tcW w:type="dxa" w:w="22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555555"/>
                <w:sz w:val="20"/>
                <w:szCs w:val="20"/>
              </w:rPr>
              <w:t xml:space="preserve">Committed plateau begins</w:t>
            </w:r>
          </w:p>
        </w:tc>
      </w:tr>
      <w:tr>
        <w:tc>
          <w:tcPr>
            <w:tcW w:type="dxa" w:w="12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Ep 20</w:t>
            </w:r>
          </w:p>
        </w:tc>
        <w:tc>
          <w:tcPr>
            <w:tcW w:type="dxa" w:w="15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19,779</w:t>
            </w:r>
          </w:p>
        </w:tc>
        <w:tc>
          <w:tcPr>
            <w:tcW w:type="dxa" w:w="14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11.1%</w:t>
            </w:r>
          </w:p>
        </w:tc>
        <w:tc>
          <w:tcPr>
            <w:tcW w:type="dxa" w:w="15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-0.4%/ep</w:t>
            </w:r>
          </w:p>
        </w:tc>
        <w:tc>
          <w:tcPr>
            <w:tcW w:type="dxa" w:w="15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-231/ep</w:t>
            </w:r>
          </w:p>
        </w:tc>
        <w:tc>
          <w:tcPr>
            <w:tcW w:type="dxa" w:w="22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555555"/>
                <w:sz w:val="20"/>
                <w:szCs w:val="20"/>
              </w:rPr>
              <w:t xml:space="preserve">Very gradual decline continues</w:t>
            </w:r>
          </w:p>
        </w:tc>
      </w:tr>
      <w:tr>
        <w:tc>
          <w:tcPr>
            <w:tcW w:type="dxa" w:w="1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Ep 30</w:t>
            </w:r>
          </w:p>
        </w:tc>
        <w:tc>
          <w:tcPr>
            <w:tcW w:type="dxa" w:w="15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17,675</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9.9%</w:t>
            </w:r>
          </w:p>
        </w:tc>
        <w:tc>
          <w:tcPr>
            <w:tcW w:type="dxa" w:w="15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-0.3%/ep</w:t>
            </w:r>
          </w:p>
        </w:tc>
        <w:tc>
          <w:tcPr>
            <w:tcW w:type="dxa" w:w="15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-210/ep</w:t>
            </w:r>
          </w:p>
        </w:tc>
        <w:tc>
          <w:tcPr>
            <w:tcW w:type="dxa" w:w="22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555555"/>
                <w:sz w:val="20"/>
                <w:szCs w:val="20"/>
              </w:rPr>
              <w:t xml:space="preserve">Deep loyal core stabilizing</w:t>
            </w:r>
          </w:p>
        </w:tc>
      </w:tr>
      <w:tr>
        <w:tc>
          <w:tcPr>
            <w:tcW w:type="dxa" w:w="12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Ep 40</w:t>
            </w:r>
          </w:p>
        </w:tc>
        <w:tc>
          <w:tcPr>
            <w:tcW w:type="dxa" w:w="15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16,575</w:t>
            </w:r>
          </w:p>
        </w:tc>
        <w:tc>
          <w:tcPr>
            <w:tcW w:type="dxa" w:w="14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9.3%</w:t>
            </w:r>
          </w:p>
        </w:tc>
        <w:tc>
          <w:tcPr>
            <w:tcW w:type="dxa" w:w="15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-0.2%/ep</w:t>
            </w:r>
          </w:p>
        </w:tc>
        <w:tc>
          <w:tcPr>
            <w:tcW w:type="dxa" w:w="15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-110/ep</w:t>
            </w:r>
          </w:p>
        </w:tc>
        <w:tc>
          <w:tcPr>
            <w:tcW w:type="dxa" w:w="22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555555"/>
                <w:sz w:val="20"/>
                <w:szCs w:val="20"/>
              </w:rPr>
              <w:t xml:space="preserve">Near-flat loyalty zone</w:t>
            </w:r>
          </w:p>
        </w:tc>
      </w:tr>
      <w:tr>
        <w:tc>
          <w:tcPr>
            <w:tcW w:type="dxa" w:w="1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Ep 50</w:t>
            </w:r>
          </w:p>
        </w:tc>
        <w:tc>
          <w:tcPr>
            <w:tcW w:type="dxa" w:w="15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15,385</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8.6%</w:t>
            </w:r>
          </w:p>
        </w:tc>
        <w:tc>
          <w:tcPr>
            <w:tcW w:type="dxa" w:w="15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-0.1%/ep</w:t>
            </w:r>
          </w:p>
        </w:tc>
        <w:tc>
          <w:tcPr>
            <w:tcW w:type="dxa" w:w="15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-119/ep</w:t>
            </w:r>
          </w:p>
        </w:tc>
        <w:tc>
          <w:tcPr>
            <w:tcW w:type="dxa" w:w="22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555555"/>
                <w:sz w:val="20"/>
                <w:szCs w:val="20"/>
              </w:rPr>
              <w:t xml:space="preserve">Core completers</w:t>
            </w:r>
          </w:p>
        </w:tc>
      </w:tr>
      <w:tr>
        <w:tc>
          <w:tcPr>
            <w:tcW w:type="dxa" w:w="12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Ep 60</w:t>
            </w:r>
          </w:p>
        </w:tc>
        <w:tc>
          <w:tcPr>
            <w:tcW w:type="dxa" w:w="15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14,415</w:t>
            </w:r>
          </w:p>
        </w:tc>
        <w:tc>
          <w:tcPr>
            <w:tcW w:type="dxa" w:w="14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8.1%</w:t>
            </w:r>
          </w:p>
        </w:tc>
        <w:tc>
          <w:tcPr>
            <w:tcW w:type="dxa" w:w="15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-0.1%/ep</w:t>
            </w:r>
          </w:p>
        </w:tc>
        <w:tc>
          <w:tcPr>
            <w:tcW w:type="dxa" w:w="15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-97/ep</w:t>
            </w:r>
          </w:p>
        </w:tc>
        <w:tc>
          <w:tcPr>
            <w:tcW w:type="dxa" w:w="22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555555"/>
                <w:sz w:val="20"/>
                <w:szCs w:val="20"/>
              </w:rPr>
              <w:t xml:space="preserve">Deep completers</w:t>
            </w:r>
          </w:p>
        </w:tc>
      </w:tr>
      <w:tr>
        <w:tc>
          <w:tcPr>
            <w:tcW w:type="dxa" w:w="1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Ep 70</w:t>
            </w:r>
          </w:p>
        </w:tc>
        <w:tc>
          <w:tcPr>
            <w:tcW w:type="dxa" w:w="15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13,748</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7.7%</w:t>
            </w:r>
          </w:p>
        </w:tc>
        <w:tc>
          <w:tcPr>
            <w:tcW w:type="dxa" w:w="15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-0.1%/ep</w:t>
            </w:r>
          </w:p>
        </w:tc>
        <w:tc>
          <w:tcPr>
            <w:tcW w:type="dxa" w:w="15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-67/ep</w:t>
            </w:r>
          </w:p>
        </w:tc>
        <w:tc>
          <w:tcPr>
            <w:tcW w:type="dxa" w:w="22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555555"/>
                <w:sz w:val="20"/>
                <w:szCs w:val="20"/>
              </w:rPr>
              <w:t xml:space="preserve">Pre-finale territory</w:t>
            </w:r>
          </w:p>
        </w:tc>
      </w:tr>
      <w:tr>
        <w:tc>
          <w:tcPr>
            <w:tcW w:type="dxa" w:w="12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bCs/>
                <w:color w:val="2C3E50"/>
                <w:sz w:val="20"/>
                <w:szCs w:val="20"/>
              </w:rPr>
              <w:t xml:space="preserve">Ep 80 (Final)</w:t>
            </w:r>
          </w:p>
        </w:tc>
        <w:tc>
          <w:tcPr>
            <w:tcW w:type="dxa" w:w="15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bCs/>
                <w:color w:val="2C3E50"/>
                <w:sz w:val="20"/>
                <w:szCs w:val="20"/>
              </w:rPr>
              <w:t xml:space="preserve">18,085</w:t>
            </w:r>
          </w:p>
        </w:tc>
        <w:tc>
          <w:tcPr>
            <w:tcW w:type="dxa" w:w="14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2C3E50"/>
                <w:sz w:val="20"/>
                <w:szCs w:val="20"/>
              </w:rPr>
              <w:t xml:space="preserve">10.2%</w:t>
            </w:r>
          </w:p>
        </w:tc>
        <w:tc>
          <w:tcPr>
            <w:tcW w:type="dxa" w:w="15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2C3E50"/>
                <w:sz w:val="20"/>
                <w:szCs w:val="20"/>
              </w:rPr>
              <w:t xml:space="preserve">+3.7%</w:t>
            </w:r>
          </w:p>
        </w:tc>
        <w:tc>
          <w:tcPr>
            <w:tcW w:type="dxa" w:w="15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bCs/>
                <w:color w:val="2C3E50"/>
                <w:sz w:val="20"/>
                <w:szCs w:val="20"/>
              </w:rPr>
              <w:t xml:space="preserve">+3,610</w:t>
            </w:r>
          </w:p>
        </w:tc>
        <w:tc>
          <w:tcPr>
            <w:tcW w:type="dxa" w:w="226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555555"/>
                <w:sz w:val="20"/>
                <w:szCs w:val="20"/>
              </w:rPr>
              <w:t xml:space="preserve">Finale spike — skip viewers return</w:t>
            </w:r>
          </w:p>
        </w:tc>
      </w:tr>
    </w:tbl>
    <w:p>
      <w:pPr>
        <w:spacing w:after="0" w:before="120"/>
      </w:pPr>
      <w:r>
        <w:t xml:space="preserve"/>
      </w:r>
    </w:p>
    <w:p>
      <w:pPr>
        <w:pStyle w:val="SubHeading"/>
      </w:pPr>
      <w:r>
        <w:t xml:space="preserve">Lock Boundary Impact Analysis — Diminishing Returns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760"/>
      </w:tblGrid>
      <w:tr>
        <w:trPr>
          <w:tblHeader/>
        </w:trPr>
        <w:tc>
          <w:tcPr>
            <w:tcW w:type="dxa" w:w="20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Lock Boundary</w:t>
            </w:r>
          </w:p>
        </w:tc>
        <w:tc>
          <w:tcPr>
            <w:tcW w:type="dxa" w:w="14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Pre-Lock</w:t>
            </w:r>
          </w:p>
        </w:tc>
        <w:tc>
          <w:tcPr>
            <w:tcW w:type="dxa" w:w="14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Post-Lock</w:t>
            </w:r>
          </w:p>
        </w:tc>
        <w:tc>
          <w:tcPr>
            <w:tcW w:type="dxa" w:w="14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Drop %</w:t>
            </w:r>
          </w:p>
        </w:tc>
        <w:tc>
          <w:tcPr>
            <w:tcW w:type="dxa" w:w="14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Users Lost</w:t>
            </w:r>
          </w:p>
        </w:tc>
        <w:tc>
          <w:tcPr>
            <w:tcW w:type="dxa" w:w="17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Assessment</w:t>
            </w:r>
          </w:p>
        </w:tc>
      </w:tr>
      <w:tr>
        <w:tc>
          <w:tcPr>
            <w:tcW w:type="dxa" w:w="20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bCs/>
                <w:color w:val="2C3E50"/>
                <w:sz w:val="20"/>
                <w:szCs w:val="20"/>
              </w:rPr>
              <w:t xml:space="preserve">Ep5→Ep6 (1st Lock)</w:t>
            </w:r>
          </w:p>
        </w:tc>
        <w:tc>
          <w:tcPr>
            <w:tcW w:type="dxa" w:w="14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40,581</w:t>
            </w:r>
          </w:p>
        </w:tc>
        <w:tc>
          <w:tcPr>
            <w:tcW w:type="dxa" w:w="14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26,145</w:t>
            </w:r>
          </w:p>
        </w:tc>
        <w:tc>
          <w:tcPr>
            <w:tcW w:type="dxa" w:w="14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C2185B"/>
                <w:sz w:val="20"/>
                <w:szCs w:val="20"/>
              </w:rPr>
              <w:t xml:space="preserve">-35.6%</w:t>
            </w:r>
          </w:p>
        </w:tc>
        <w:tc>
          <w:tcPr>
            <w:tcW w:type="dxa" w:w="14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14,436</w:t>
            </w:r>
          </w:p>
        </w:tc>
        <w:tc>
          <w:tcPr>
            <w:tcW w:type="dxa" w:w="176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Primary filter — largest gate</w:t>
            </w:r>
          </w:p>
        </w:tc>
      </w:tr>
      <w:tr>
        <w:tc>
          <w:tcPr>
            <w:tcW w:type="dxa" w:w="20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Ep10→Ep11 (2nd Lock)</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24,087</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21,306</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333333"/>
                <w:sz w:val="20"/>
                <w:szCs w:val="20"/>
              </w:rPr>
              <w:t xml:space="preserve">-11.5%</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2,781</w:t>
            </w:r>
          </w:p>
        </w:tc>
        <w:tc>
          <w:tcPr>
            <w:tcW w:type="dxa" w:w="17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Significant but manageable</w:t>
            </w:r>
          </w:p>
        </w:tc>
      </w:tr>
      <w:tr>
        <w:tc>
          <w:tcPr>
            <w:tcW w:type="dxa" w:w="20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Ep15→Ep16 (3rd Lock)</w:t>
            </w:r>
          </w:p>
        </w:tc>
        <w:tc>
          <w:tcPr>
            <w:tcW w:type="dxa" w:w="14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21,044</w:t>
            </w:r>
          </w:p>
        </w:tc>
        <w:tc>
          <w:tcPr>
            <w:tcW w:type="dxa" w:w="14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19,917</w:t>
            </w:r>
          </w:p>
        </w:tc>
        <w:tc>
          <w:tcPr>
            <w:tcW w:type="dxa" w:w="14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333333"/>
                <w:sz w:val="20"/>
                <w:szCs w:val="20"/>
              </w:rPr>
              <w:t xml:space="preserve">-5.4%</w:t>
            </w:r>
          </w:p>
        </w:tc>
        <w:tc>
          <w:tcPr>
            <w:tcW w:type="dxa" w:w="14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1,127</w:t>
            </w:r>
          </w:p>
        </w:tc>
        <w:tc>
          <w:tcPr>
            <w:tcW w:type="dxa" w:w="17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Moderate drop-off</w:t>
            </w:r>
          </w:p>
        </w:tc>
      </w:tr>
      <w:tr>
        <w:tc>
          <w:tcPr>
            <w:tcW w:type="dxa" w:w="20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Ep20→Ep21 (4th Lock)</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19,779</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18,600</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333333"/>
                <w:sz w:val="20"/>
                <w:szCs w:val="20"/>
              </w:rPr>
              <w:t xml:space="preserve">-6.0%</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1,179</w:t>
            </w:r>
          </w:p>
        </w:tc>
        <w:tc>
          <w:tcPr>
            <w:tcW w:type="dxa" w:w="17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Slightly elevated at this stage</w:t>
            </w:r>
          </w:p>
        </w:tc>
      </w:tr>
      <w:tr>
        <w:tc>
          <w:tcPr>
            <w:tcW w:type="dxa" w:w="20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Ep25→Ep26 (5th Lock)</w:t>
            </w:r>
          </w:p>
        </w:tc>
        <w:tc>
          <w:tcPr>
            <w:tcW w:type="dxa" w:w="14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18,399</w:t>
            </w:r>
          </w:p>
        </w:tc>
        <w:tc>
          <w:tcPr>
            <w:tcW w:type="dxa" w:w="14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17,706</w:t>
            </w:r>
          </w:p>
        </w:tc>
        <w:tc>
          <w:tcPr>
            <w:tcW w:type="dxa" w:w="14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333333"/>
                <w:sz w:val="20"/>
                <w:szCs w:val="20"/>
              </w:rPr>
              <w:t xml:space="preserve">-3.8%</w:t>
            </w:r>
          </w:p>
        </w:tc>
        <w:tc>
          <w:tcPr>
            <w:tcW w:type="dxa" w:w="14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693</w:t>
            </w:r>
          </w:p>
        </w:tc>
        <w:tc>
          <w:tcPr>
            <w:tcW w:type="dxa" w:w="17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Committed users absorb the lock</w:t>
            </w:r>
          </w:p>
        </w:tc>
      </w:tr>
      <w:tr>
        <w:tc>
          <w:tcPr>
            <w:tcW w:type="dxa" w:w="20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Ep30→Ep31 (6th Lock)</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17,675</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17,279</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333333"/>
                <w:sz w:val="20"/>
                <w:szCs w:val="20"/>
              </w:rPr>
              <w:t xml:space="preserve">-2.2%</w:t>
            </w:r>
          </w:p>
        </w:tc>
        <w:tc>
          <w:tcPr>
            <w:tcW w:type="dxa" w:w="14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396</w:t>
            </w:r>
          </w:p>
        </w:tc>
        <w:tc>
          <w:tcPr>
            <w:tcW w:type="dxa" w:w="17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Near-negligible — highly loyal core</w:t>
            </w:r>
          </w:p>
        </w:tc>
      </w:tr>
    </w:tbl>
    <w:p>
      <w:pPr>
        <w:spacing w:after="0" w:before="120"/>
      </w:pPr>
      <w:r>
        <w:t xml:space="preserve"/>
      </w:r>
    </w:p>
    <w:p>
      <w:pPr>
        <w:pStyle w:val="SubHeading"/>
      </w:pPr>
      <w:r>
        <w:t xml:space="preserve">Key Findings — Four Retention Phases</w:t>
      </w:r>
    </w:p>
    <w:p>
      <w:pPr>
        <w:pStyle w:val="ListParagraph"/>
        <w:numPr>
          <w:ilvl w:val="0"/>
          <w:numId w:val="2"/>
        </w:numPr>
      </w:pPr>
      <w:r>
        <w:rPr>
          <w:rFonts w:ascii="Arial" w:cs="Arial" w:eastAsia="Arial" w:hAnsi="Arial"/>
          <w:color w:val="2C3E50"/>
          <w:sz w:val="21"/>
          <w:szCs w:val="21"/>
        </w:rPr>
        <w:t xml:space="preserve">Discovery Phase (Ep 1–5): Entry at 178K, collapsing to 40K — an 77.2% cumulative loss before the first lock boundary. The Ep1→Ep2 transition alone loses 65.1% of all viewers, establishing the sampler-to-trialist filter.</w:t>
      </w:r>
    </w:p>
    <w:p>
      <w:pPr>
        <w:pStyle w:val="ListParagraph"/>
        <w:numPr>
          <w:ilvl w:val="0"/>
          <w:numId w:val="2"/>
        </w:numPr>
      </w:pPr>
      <w:r>
        <w:rPr>
          <w:rFonts w:ascii="Arial" w:cs="Arial" w:eastAsia="Arial" w:hAnsi="Arial"/>
          <w:color w:val="2C3E50"/>
          <w:sz w:val="21"/>
          <w:szCs w:val="21"/>
        </w:rPr>
        <w:t xml:space="preserve">Lock Gate Phase (Ep 5→6): The progressive lock system creates a 35.6% cliff at Ep5→Ep6 — the single largest lock-driven drop. This gate is working as designed, filtering out uncommitted viewers before expensive content is consumed.</w:t>
      </w:r>
    </w:p>
    <w:p>
      <w:pPr>
        <w:pStyle w:val="ListParagraph"/>
        <w:numPr>
          <w:ilvl w:val="0"/>
          <w:numId w:val="2"/>
        </w:numPr>
      </w:pPr>
      <w:r>
        <w:rPr>
          <w:rFonts w:ascii="Arial" w:cs="Arial" w:eastAsia="Arial" w:hAnsi="Arial"/>
          <w:color w:val="2C3E50"/>
          <w:sz w:val="21"/>
          <w:szCs w:val="21"/>
        </w:rPr>
        <w:t xml:space="preserve">Committed Phase (Ep 6–30): Viewers who survive the first lock enter a gradual decline phase from 14.7% to 9.9% retention over 24 episodes — approximately 0.2% per episode. These users are increasingly committed with each episode watched.</w:t>
      </w:r>
    </w:p>
    <w:p>
      <w:pPr>
        <w:pStyle w:val="ListParagraph"/>
        <w:numPr>
          <w:ilvl w:val="0"/>
          <w:numId w:val="2"/>
        </w:numPr>
      </w:pPr>
      <w:r>
        <w:rPr>
          <w:rFonts w:ascii="Arial" w:cs="Arial" w:eastAsia="Arial" w:hAnsi="Arial"/>
          <w:color w:val="2C3E50"/>
          <w:sz w:val="21"/>
          <w:szCs w:val="21"/>
        </w:rPr>
        <w:t xml:space="preserve">Deep Loyal Phase (Ep 30–80): Retention becomes nearly flat below 10%. The core audience of approximately 13K–18K viewers watches all the way to the finale with remarkable stability.</w:t>
      </w:r>
    </w:p>
    <w:p>
      <w:pPr>
        <w:pStyle w:val="ListParagraph"/>
        <w:numPr>
          <w:ilvl w:val="0"/>
          <w:numId w:val="2"/>
        </w:numPr>
      </w:pPr>
      <w:r>
        <w:rPr>
          <w:rFonts w:ascii="Arial" w:cs="Arial" w:eastAsia="Arial" w:hAnsi="Arial"/>
          <w:color w:val="2C3E50"/>
          <w:sz w:val="21"/>
          <w:szCs w:val="21"/>
        </w:rPr>
        <w:t xml:space="preserve">Finale Spike (Ep79→Ep80): An uptick of +3,610 viewers at the finale (from 14,475 to 18,085) indicates "finale curiosity" behavior — users who dropped out mid-series return specifically to see the ending. This is a recoverable audience segment.</w:t>
      </w:r>
    </w:p>
    <w:p>
      <w:pPr>
        <w:pStyle w:val="ListParagraph"/>
        <w:numPr>
          <w:ilvl w:val="0"/>
          <w:numId w:val="2"/>
        </w:numPr>
      </w:pPr>
      <w:r>
        <w:rPr>
          <w:rFonts w:ascii="Arial" w:cs="Arial" w:eastAsia="Arial" w:hAnsi="Arial"/>
          <w:color w:val="2C3E50"/>
          <w:sz w:val="21"/>
          <w:szCs w:val="21"/>
        </w:rPr>
        <w:t xml:space="preserve">Ep5 Uptick: Episode 5 (the last free episode) shows higher streamers than Ep4 (+1,790), suggesting that users are directed specifically to the pre-lock finale to maximize their chances of completing the unlock trigger.</w:t>
      </w:r>
    </w:p>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14"/>
              <w:bottom w:val="single" w:color="DDDDDD" w:sz="2"/>
              <w:right w:val="single" w:color="DDDDDD" w:sz="1"/>
            </w:tcBorders>
            <w:shd w:fill="F3E5F5" w:val="clear"/>
          </w:tcPr>
          <w:p>
            <w:pPr>
              <w:spacing w:after="60" w:before="100"/>
            </w:pPr>
            <w:r>
              <w:rPr>
                <w:rFonts w:ascii="Arial" w:cs="Arial" w:eastAsia="Arial" w:hAnsi="Arial"/>
                <w:b/>
                <w:bCs/>
                <w:caps/>
                <w:color w:val="7B1FA2"/>
                <w:sz w:val="19"/>
                <w:szCs w:val="19"/>
              </w:rPr>
              <w:t xml:space="preserve">BEHAVIORAL SIGNATURES</w:t>
            </w:r>
          </w:p>
          <w:p>
            <w:pPr>
              <w:spacing w:after="100" w:before="40"/>
            </w:pPr>
            <w:r>
              <w:rPr>
                <w:rFonts w:ascii="Arial" w:cs="Arial" w:eastAsia="Arial" w:hAnsi="Arial"/>
                <w:color w:val="333333"/>
                <w:sz w:val="21"/>
                <w:szCs w:val="21"/>
              </w:rPr>
              <w:t xml:space="preserve">This retention curve defines three user behavioral signatures: Samplers (65% of entry — watch Ep1 only), Trialists (13% — watch Ep1-5, hit the lock, leave), and Completers (~10% — survive the first lock and stay through Ep80). Each signature represents a distinct persona type.</w:t>
            </w:r>
          </w:p>
        </w:tc>
      </w:tr>
    </w:tbl>
    <w:p>
      <w:pPr>
        <w:spacing w:after="0" w:before="200"/>
      </w:pPr>
      <w:r>
        <w:t xml:space="preserve"/>
      </w:r>
    </w:p>
    <w:p>
      <w:r>
        <w:br w:type="page"/>
      </w:r>
    </w:p>
    <w:p>
      <w:pPr>
        <w:pStyle w:val="SectionHeading"/>
      </w:pPr>
      <w:r>
        <w:t xml:space="preserve">Query 7 — Multi-Show Consumption Distribution</w:t>
      </w:r>
    </w:p>
    <w:p>
      <w:pPr>
        <w:pStyle w:val="Body"/>
      </w:pPr>
      <w:r>
        <w:t xml:space="preserve">Source: fatafat.mxp_fatafat_player_engagement joined to daily_cms_data_table | Date: April 5, 2026</w:t>
      </w:r>
    </w:p>
    <w:p>
      <w:pPr>
        <w:pStyle w:val="Body"/>
      </w:pPr>
      <w:r>
        <w:t xml:space="preserve">The multi-show consumption query maps the distribution of unique shows watched per user on a single day. It reveals how many users watch just one show versus multiple shows, and how watchtime escalates with each additional show — producing the clearest single-variable proxy for audience engagement depth available in Phase 1.</w:t>
      </w:r>
    </w:p>
    <w:p>
      <w:pPr>
        <w:spacing w:after="0" w:before="80"/>
      </w:pPr>
      <w:r>
        <w:t xml:space="preserve"/>
      </w:r>
    </w:p>
    <w:p>
      <w:pPr>
        <w:spacing w:after="60" w:before="120"/>
        <w:jc w:val="center"/>
      </w:pPr>
      <w:r>
        <w:drawing>
          <wp:inline distT="0" distB="0" distL="0" distR="0">
            <wp:extent cx="5905500" cy="3200400"/>
            <wp:effectExtent t="0" r="0" b="0" l="0"/>
            <wp:docPr id="1" name="chart7_multishow.png" descr="chart7_multishow.png" title="chart7_multish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200400"/>
                    </a:xfrm>
                    <a:prstGeom prst="rect">
                      <a:avLst/>
                    </a:prstGeom>
                  </pic:spPr>
                </pic:pic>
              </a:graphicData>
            </a:graphic>
          </wp:inline>
        </w:drawing>
      </w:r>
    </w:p>
    <w:p>
      <w:pPr>
        <w:pStyle w:val="Caption"/>
      </w:pPr>
      <w:r>
        <w:rPr>
          <w:i/>
          <w:iCs/>
          <w:color w:val="666666"/>
          <w:sz w:val="18"/>
          <w:szCs w:val="18"/>
        </w:rPr>
        <w:t xml:space="preserve">Figure 7.1: Multi-Show Consumption Distribution — Users (bars) and Avg Minutes (spline) by Shows Watched per Day</w:t>
      </w:r>
    </w:p>
    <w:p>
      <w:pPr>
        <w:spacing w:after="0" w:before="80"/>
      </w:pPr>
      <w:r>
        <w:t xml:space="preserve"/>
      </w:r>
    </w:p>
    <w:p>
      <w:pPr>
        <w:pStyle w:val="SubHeading"/>
      </w:pPr>
      <w:r>
        <w:t xml:space="preserve">Data Table — Multi-Show Consumption Segments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400"/>
        <w:gridCol w:w="1300"/>
        <w:gridCol w:w="1500"/>
        <w:gridCol w:w="2060"/>
      </w:tblGrid>
      <w:tr>
        <w:trPr>
          <w:tblHeader/>
        </w:trPr>
        <w:tc>
          <w:tcPr>
            <w:tcW w:type="dxa" w:w="14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Shows / Day</w:t>
            </w:r>
          </w:p>
        </w:tc>
        <w:tc>
          <w:tcPr>
            <w:tcW w:type="dxa" w:w="13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Users</w:t>
            </w:r>
          </w:p>
        </w:tc>
        <w:tc>
          <w:tcPr>
            <w:tcW w:type="dxa" w:w="14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 of Total</w:t>
            </w:r>
          </w:p>
        </w:tc>
        <w:tc>
          <w:tcPr>
            <w:tcW w:type="dxa" w:w="13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Avg Minutes</w:t>
            </w:r>
          </w:p>
        </w:tc>
        <w:tc>
          <w:tcPr>
            <w:tcW w:type="dxa" w:w="15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Segment</w:t>
            </w:r>
          </w:p>
        </w:tc>
        <w:tc>
          <w:tcPr>
            <w:tcW w:type="dxa" w:w="20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Behavior Note</w:t>
            </w:r>
          </w:p>
        </w:tc>
      </w:tr>
      <w:tr>
        <w:tc>
          <w:tcPr>
            <w:tcW w:type="dxa" w:w="14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bCs/>
                <w:color w:val="2C3E50"/>
                <w:sz w:val="20"/>
                <w:szCs w:val="20"/>
              </w:rPr>
              <w:t xml:space="preserve">1 show</w:t>
            </w:r>
          </w:p>
        </w:tc>
        <w:tc>
          <w:tcPr>
            <w:tcW w:type="dxa" w:w="13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307,604</w:t>
            </w:r>
          </w:p>
        </w:tc>
        <w:tc>
          <w:tcPr>
            <w:tcW w:type="dxa" w:w="14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76.9%</w:t>
            </w:r>
          </w:p>
        </w:tc>
        <w:tc>
          <w:tcPr>
            <w:tcW w:type="dxa" w:w="13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7.8</w:t>
            </w:r>
          </w:p>
        </w:tc>
        <w:tc>
          <w:tcPr>
            <w:tcW w:type="dxa" w:w="15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C2185B"/>
                <w:sz w:val="20"/>
                <w:szCs w:val="20"/>
              </w:rPr>
              <w:t xml:space="preserve">Sampler</w:t>
            </w:r>
          </w:p>
        </w:tc>
        <w:tc>
          <w:tcPr>
            <w:tcW w:type="dxa" w:w="206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555555"/>
                <w:sz w:val="20"/>
                <w:szCs w:val="20"/>
              </w:rPr>
              <w:t xml:space="preserve">Try one show and leave — the majority behavior</w:t>
            </w:r>
          </w:p>
        </w:tc>
      </w:tr>
      <w:tr>
        <w:tc>
          <w:tcPr>
            <w:tcW w:type="dxa" w:w="14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2 shows</w:t>
            </w:r>
          </w:p>
        </w:tc>
        <w:tc>
          <w:tcPr>
            <w:tcW w:type="dxa" w:w="1300"/>
            <w:tcBorders>
              <w:top w:val="single" w:color="D0D0D0" w:sz="1"/>
              <w:left w:val="single" w:color="D0D0D0" w:sz="1"/>
              <w:bottom w:val="single" w:color="D0D0D0" w:sz="1"/>
              <w:right w:val="single" w:color="D0D0D0" w:sz="1"/>
            </w:tcBorders>
            <w:shd w:fill="F1FAF9" w:val="clear"/>
          </w:tcPr>
          <w:p>
            <w:pPr>
              <w:spacing w:after="60" w:before="60"/>
              <w:jc w:val="right"/>
            </w:pPr>
            <w:r>
              <w:rPr>
                <w:rFonts w:ascii="Arial" w:cs="Arial" w:eastAsia="Arial" w:hAnsi="Arial"/>
                <w:b w:val="false"/>
                <w:bCs w:val="false"/>
                <w:color w:val="2C3E50"/>
                <w:sz w:val="20"/>
                <w:szCs w:val="20"/>
              </w:rPr>
              <w:t xml:space="preserve">46,342</w:t>
            </w:r>
          </w:p>
        </w:tc>
        <w:tc>
          <w:tcPr>
            <w:tcW w:type="dxa" w:w="14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11.6%</w:t>
            </w:r>
          </w:p>
        </w:tc>
        <w:tc>
          <w:tcPr>
            <w:tcW w:type="dxa" w:w="13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43.1</w:t>
            </w:r>
          </w:p>
        </w:tc>
        <w:tc>
          <w:tcPr>
            <w:tcW w:type="dxa" w:w="15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00897B"/>
                <w:sz w:val="20"/>
                <w:szCs w:val="20"/>
              </w:rPr>
              <w:t xml:space="preserve">Explorer</w:t>
            </w:r>
          </w:p>
        </w:tc>
        <w:tc>
          <w:tcPr>
            <w:tcW w:type="dxa" w:w="206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555555"/>
                <w:sz w:val="20"/>
                <w:szCs w:val="20"/>
              </w:rPr>
              <w:t xml:space="preserve">5.5x watchtime jump from single-show</w:t>
            </w:r>
          </w:p>
        </w:tc>
      </w:tr>
      <w:tr>
        <w:tc>
          <w:tcPr>
            <w:tcW w:type="dxa" w:w="14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3 shows</w:t>
            </w:r>
          </w:p>
        </w:tc>
        <w:tc>
          <w:tcPr>
            <w:tcW w:type="dxa" w:w="1300"/>
            <w:tcBorders>
              <w:top w:val="single" w:color="D0D0D0" w:sz="1"/>
              <w:left w:val="single" w:color="D0D0D0" w:sz="1"/>
              <w:bottom w:val="single" w:color="D0D0D0" w:sz="1"/>
              <w:right w:val="single" w:color="D0D0D0" w:sz="1"/>
            </w:tcBorders>
            <w:shd w:fill="F1FAF9" w:val="clear"/>
          </w:tcPr>
          <w:p>
            <w:pPr>
              <w:spacing w:after="60" w:before="60"/>
              <w:jc w:val="right"/>
            </w:pPr>
            <w:r>
              <w:rPr>
                <w:rFonts w:ascii="Arial" w:cs="Arial" w:eastAsia="Arial" w:hAnsi="Arial"/>
                <w:b w:val="false"/>
                <w:bCs w:val="false"/>
                <w:color w:val="2C3E50"/>
                <w:sz w:val="20"/>
                <w:szCs w:val="20"/>
              </w:rPr>
              <w:t xml:space="preserve">18,212</w:t>
            </w:r>
          </w:p>
        </w:tc>
        <w:tc>
          <w:tcPr>
            <w:tcW w:type="dxa" w:w="14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4.6%</w:t>
            </w:r>
          </w:p>
        </w:tc>
        <w:tc>
          <w:tcPr>
            <w:tcW w:type="dxa" w:w="13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72.5</w:t>
            </w:r>
          </w:p>
        </w:tc>
        <w:tc>
          <w:tcPr>
            <w:tcW w:type="dxa" w:w="15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00897B"/>
                <w:sz w:val="20"/>
                <w:szCs w:val="20"/>
              </w:rPr>
              <w:t xml:space="preserve">Explorer</w:t>
            </w:r>
          </w:p>
        </w:tc>
        <w:tc>
          <w:tcPr>
            <w:tcW w:type="dxa" w:w="206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555555"/>
                <w:sz w:val="20"/>
                <w:szCs w:val="20"/>
              </w:rPr>
              <w:t xml:space="preserve">Consistently high engagement</w:t>
            </w:r>
          </w:p>
        </w:tc>
      </w:tr>
      <w:tr>
        <w:tc>
          <w:tcPr>
            <w:tcW w:type="dxa" w:w="140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2C3E50"/>
                <w:sz w:val="20"/>
                <w:szCs w:val="20"/>
              </w:rPr>
              <w:t xml:space="preserve">4 shows</w:t>
            </w:r>
          </w:p>
        </w:tc>
        <w:tc>
          <w:tcPr>
            <w:tcW w:type="dxa" w:w="1300"/>
            <w:tcBorders>
              <w:top w:val="single" w:color="D0D0D0" w:sz="1"/>
              <w:left w:val="single" w:color="D0D0D0" w:sz="1"/>
              <w:bottom w:val="single" w:color="D0D0D0" w:sz="1"/>
              <w:right w:val="single" w:color="D0D0D0" w:sz="1"/>
            </w:tcBorders>
            <w:shd w:fill="FFF8E1" w:val="clear"/>
          </w:tcPr>
          <w:p>
            <w:pPr>
              <w:spacing w:after="60" w:before="60"/>
              <w:jc w:val="right"/>
            </w:pPr>
            <w:r>
              <w:rPr>
                <w:rFonts w:ascii="Arial" w:cs="Arial" w:eastAsia="Arial" w:hAnsi="Arial"/>
                <w:b w:val="false"/>
                <w:bCs w:val="false"/>
                <w:color w:val="2C3E50"/>
                <w:sz w:val="20"/>
                <w:szCs w:val="20"/>
              </w:rPr>
              <w:t xml:space="preserve">9,621</w:t>
            </w:r>
          </w:p>
        </w:tc>
        <w:tc>
          <w:tcPr>
            <w:tcW w:type="dxa" w:w="1400"/>
            <w:tcBorders>
              <w:top w:val="single" w:color="D0D0D0" w:sz="1"/>
              <w:left w:val="single" w:color="D0D0D0" w:sz="1"/>
              <w:bottom w:val="single" w:color="D0D0D0" w:sz="1"/>
              <w:right w:val="single" w:color="D0D0D0" w:sz="1"/>
            </w:tcBorders>
            <w:shd w:fill="FFF8E1" w:val="clear"/>
          </w:tcPr>
          <w:p>
            <w:pPr>
              <w:spacing w:after="60" w:before="60"/>
              <w:jc w:val="center"/>
            </w:pPr>
            <w:r>
              <w:rPr>
                <w:rFonts w:ascii="Arial" w:cs="Arial" w:eastAsia="Arial" w:hAnsi="Arial"/>
                <w:b w:val="false"/>
                <w:bCs w:val="false"/>
                <w:color w:val="2C3E50"/>
                <w:sz w:val="20"/>
                <w:szCs w:val="20"/>
              </w:rPr>
              <w:t xml:space="preserve">2.4%</w:t>
            </w:r>
          </w:p>
        </w:tc>
        <w:tc>
          <w:tcPr>
            <w:tcW w:type="dxa" w:w="1300"/>
            <w:tcBorders>
              <w:top w:val="single" w:color="D0D0D0" w:sz="1"/>
              <w:left w:val="single" w:color="D0D0D0" w:sz="1"/>
              <w:bottom w:val="single" w:color="D0D0D0" w:sz="1"/>
              <w:right w:val="single" w:color="D0D0D0" w:sz="1"/>
            </w:tcBorders>
            <w:shd w:fill="FFF8E1" w:val="clear"/>
          </w:tcPr>
          <w:p>
            <w:pPr>
              <w:spacing w:after="60" w:before="60"/>
              <w:jc w:val="center"/>
            </w:pPr>
            <w:r>
              <w:rPr>
                <w:rFonts w:ascii="Arial" w:cs="Arial" w:eastAsia="Arial" w:hAnsi="Arial"/>
                <w:b w:val="false"/>
                <w:bCs w:val="false"/>
                <w:color w:val="2C3E50"/>
                <w:sz w:val="20"/>
                <w:szCs w:val="20"/>
              </w:rPr>
              <w:t xml:space="preserve">96.5</w:t>
            </w:r>
          </w:p>
        </w:tc>
        <w:tc>
          <w:tcPr>
            <w:tcW w:type="dxa" w:w="1500"/>
            <w:tcBorders>
              <w:top w:val="single" w:color="D0D0D0" w:sz="1"/>
              <w:left w:val="single" w:color="D0D0D0" w:sz="1"/>
              <w:bottom w:val="single" w:color="D0D0D0" w:sz="1"/>
              <w:right w:val="single" w:color="D0D0D0" w:sz="1"/>
            </w:tcBorders>
            <w:shd w:fill="FFF8E1" w:val="clear"/>
          </w:tcPr>
          <w:p>
            <w:pPr>
              <w:spacing w:after="60" w:before="60"/>
              <w:jc w:val="center"/>
            </w:pPr>
            <w:r>
              <w:rPr>
                <w:rFonts w:ascii="Arial" w:cs="Arial" w:eastAsia="Arial" w:hAnsi="Arial"/>
                <w:b w:val="false"/>
                <w:bCs w:val="false"/>
                <w:color w:val="E65100"/>
                <w:sz w:val="20"/>
                <w:szCs w:val="20"/>
              </w:rPr>
              <w:t xml:space="preserve">Engaged</w:t>
            </w:r>
          </w:p>
        </w:tc>
        <w:tc>
          <w:tcPr>
            <w:tcW w:type="dxa" w:w="206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555555"/>
                <w:sz w:val="20"/>
                <w:szCs w:val="20"/>
              </w:rPr>
              <w:t xml:space="preserve">Nearly 100 min/day avg</w:t>
            </w:r>
          </w:p>
        </w:tc>
      </w:tr>
      <w:tr>
        <w:tc>
          <w:tcPr>
            <w:tcW w:type="dxa" w:w="140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2C3E50"/>
                <w:sz w:val="20"/>
                <w:szCs w:val="20"/>
              </w:rPr>
              <w:t xml:space="preserve">5 shows</w:t>
            </w:r>
          </w:p>
        </w:tc>
        <w:tc>
          <w:tcPr>
            <w:tcW w:type="dxa" w:w="1300"/>
            <w:tcBorders>
              <w:top w:val="single" w:color="D0D0D0" w:sz="1"/>
              <w:left w:val="single" w:color="D0D0D0" w:sz="1"/>
              <w:bottom w:val="single" w:color="D0D0D0" w:sz="1"/>
              <w:right w:val="single" w:color="D0D0D0" w:sz="1"/>
            </w:tcBorders>
            <w:shd w:fill="FFF8E1" w:val="clear"/>
          </w:tcPr>
          <w:p>
            <w:pPr>
              <w:spacing w:after="60" w:before="60"/>
              <w:jc w:val="right"/>
            </w:pPr>
            <w:r>
              <w:rPr>
                <w:rFonts w:ascii="Arial" w:cs="Arial" w:eastAsia="Arial" w:hAnsi="Arial"/>
                <w:b w:val="false"/>
                <w:bCs w:val="false"/>
                <w:color w:val="2C3E50"/>
                <w:sz w:val="20"/>
                <w:szCs w:val="20"/>
              </w:rPr>
              <w:t xml:space="preserve">5,433</w:t>
            </w:r>
          </w:p>
        </w:tc>
        <w:tc>
          <w:tcPr>
            <w:tcW w:type="dxa" w:w="1400"/>
            <w:tcBorders>
              <w:top w:val="single" w:color="D0D0D0" w:sz="1"/>
              <w:left w:val="single" w:color="D0D0D0" w:sz="1"/>
              <w:bottom w:val="single" w:color="D0D0D0" w:sz="1"/>
              <w:right w:val="single" w:color="D0D0D0" w:sz="1"/>
            </w:tcBorders>
            <w:shd w:fill="FFF8E1" w:val="clear"/>
          </w:tcPr>
          <w:p>
            <w:pPr>
              <w:spacing w:after="60" w:before="60"/>
              <w:jc w:val="center"/>
            </w:pPr>
            <w:r>
              <w:rPr>
                <w:rFonts w:ascii="Arial" w:cs="Arial" w:eastAsia="Arial" w:hAnsi="Arial"/>
                <w:b w:val="false"/>
                <w:bCs w:val="false"/>
                <w:color w:val="2C3E50"/>
                <w:sz w:val="20"/>
                <w:szCs w:val="20"/>
              </w:rPr>
              <w:t xml:space="preserve">1.4%</w:t>
            </w:r>
          </w:p>
        </w:tc>
        <w:tc>
          <w:tcPr>
            <w:tcW w:type="dxa" w:w="1300"/>
            <w:tcBorders>
              <w:top w:val="single" w:color="D0D0D0" w:sz="1"/>
              <w:left w:val="single" w:color="D0D0D0" w:sz="1"/>
              <w:bottom w:val="single" w:color="D0D0D0" w:sz="1"/>
              <w:right w:val="single" w:color="D0D0D0" w:sz="1"/>
            </w:tcBorders>
            <w:shd w:fill="FFF8E1" w:val="clear"/>
          </w:tcPr>
          <w:p>
            <w:pPr>
              <w:spacing w:after="60" w:before="60"/>
              <w:jc w:val="center"/>
            </w:pPr>
            <w:r>
              <w:rPr>
                <w:rFonts w:ascii="Arial" w:cs="Arial" w:eastAsia="Arial" w:hAnsi="Arial"/>
                <w:b w:val="false"/>
                <w:bCs w:val="false"/>
                <w:color w:val="2C3E50"/>
                <w:sz w:val="20"/>
                <w:szCs w:val="20"/>
              </w:rPr>
              <w:t xml:space="preserve">115.3</w:t>
            </w:r>
          </w:p>
        </w:tc>
        <w:tc>
          <w:tcPr>
            <w:tcW w:type="dxa" w:w="1500"/>
            <w:tcBorders>
              <w:top w:val="single" w:color="D0D0D0" w:sz="1"/>
              <w:left w:val="single" w:color="D0D0D0" w:sz="1"/>
              <w:bottom w:val="single" w:color="D0D0D0" w:sz="1"/>
              <w:right w:val="single" w:color="D0D0D0" w:sz="1"/>
            </w:tcBorders>
            <w:shd w:fill="FFF8E1" w:val="clear"/>
          </w:tcPr>
          <w:p>
            <w:pPr>
              <w:spacing w:after="60" w:before="60"/>
              <w:jc w:val="center"/>
            </w:pPr>
            <w:r>
              <w:rPr>
                <w:rFonts w:ascii="Arial" w:cs="Arial" w:eastAsia="Arial" w:hAnsi="Arial"/>
                <w:b w:val="false"/>
                <w:bCs w:val="false"/>
                <w:color w:val="E65100"/>
                <w:sz w:val="20"/>
                <w:szCs w:val="20"/>
              </w:rPr>
              <w:t xml:space="preserve">Engaged</w:t>
            </w:r>
          </w:p>
        </w:tc>
        <w:tc>
          <w:tcPr>
            <w:tcW w:type="dxa" w:w="206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555555"/>
                <w:sz w:val="20"/>
                <w:szCs w:val="20"/>
              </w:rPr>
              <w:t xml:space="preserve">Committed viewer pattern</w:t>
            </w:r>
          </w:p>
        </w:tc>
      </w:tr>
      <w:tr>
        <w:tc>
          <w:tcPr>
            <w:tcW w:type="dxa" w:w="1400"/>
            <w:tcBorders>
              <w:top w:val="single" w:color="D0D0D0" w:sz="1"/>
              <w:left w:val="single" w:color="D0D0D0" w:sz="1"/>
              <w:bottom w:val="single" w:color="D0D0D0" w:sz="1"/>
              <w:right w:val="single" w:color="D0D0D0" w:sz="1"/>
            </w:tcBorders>
            <w:shd w:fill="EEF6F4" w:val="clear"/>
          </w:tcPr>
          <w:p>
            <w:pPr>
              <w:spacing w:after="60" w:before="60"/>
              <w:jc w:val="left"/>
            </w:pPr>
            <w:r>
              <w:rPr>
                <w:rFonts w:ascii="Arial" w:cs="Arial" w:eastAsia="Arial" w:hAnsi="Arial"/>
                <w:b w:val="false"/>
                <w:bCs w:val="false"/>
                <w:color w:val="2C3E50"/>
                <w:sz w:val="20"/>
                <w:szCs w:val="20"/>
              </w:rPr>
              <w:t xml:space="preserve">6 shows</w:t>
            </w:r>
          </w:p>
        </w:tc>
        <w:tc>
          <w:tcPr>
            <w:tcW w:type="dxa" w:w="1300"/>
            <w:tcBorders>
              <w:top w:val="single" w:color="D0D0D0" w:sz="1"/>
              <w:left w:val="single" w:color="D0D0D0" w:sz="1"/>
              <w:bottom w:val="single" w:color="D0D0D0" w:sz="1"/>
              <w:right w:val="single" w:color="D0D0D0" w:sz="1"/>
            </w:tcBorders>
            <w:shd w:fill="EEF6F4" w:val="clear"/>
          </w:tcPr>
          <w:p>
            <w:pPr>
              <w:spacing w:after="60" w:before="60"/>
              <w:jc w:val="right"/>
            </w:pPr>
            <w:r>
              <w:rPr>
                <w:rFonts w:ascii="Arial" w:cs="Arial" w:eastAsia="Arial" w:hAnsi="Arial"/>
                <w:b w:val="false"/>
                <w:bCs w:val="false"/>
                <w:color w:val="2C3E50"/>
                <w:sz w:val="20"/>
                <w:szCs w:val="20"/>
              </w:rPr>
              <w:t xml:space="preserve">3,473</w:t>
            </w:r>
          </w:p>
        </w:tc>
        <w:tc>
          <w:tcPr>
            <w:tcW w:type="dxa" w:w="1400"/>
            <w:tcBorders>
              <w:top w:val="single" w:color="D0D0D0" w:sz="1"/>
              <w:left w:val="single" w:color="D0D0D0" w:sz="1"/>
              <w:bottom w:val="single" w:color="D0D0D0" w:sz="1"/>
              <w:right w:val="single" w:color="D0D0D0" w:sz="1"/>
            </w:tcBorders>
            <w:shd w:fill="EEF6F4" w:val="clear"/>
          </w:tcPr>
          <w:p>
            <w:pPr>
              <w:spacing w:after="60" w:before="60"/>
              <w:jc w:val="center"/>
            </w:pPr>
            <w:r>
              <w:rPr>
                <w:rFonts w:ascii="Arial" w:cs="Arial" w:eastAsia="Arial" w:hAnsi="Arial"/>
                <w:b w:val="false"/>
                <w:bCs w:val="false"/>
                <w:color w:val="2C3E50"/>
                <w:sz w:val="20"/>
                <w:szCs w:val="20"/>
              </w:rPr>
              <w:t xml:space="preserve">0.9%</w:t>
            </w:r>
          </w:p>
        </w:tc>
        <w:tc>
          <w:tcPr>
            <w:tcW w:type="dxa" w:w="1300"/>
            <w:tcBorders>
              <w:top w:val="single" w:color="D0D0D0" w:sz="1"/>
              <w:left w:val="single" w:color="D0D0D0" w:sz="1"/>
              <w:bottom w:val="single" w:color="D0D0D0" w:sz="1"/>
              <w:right w:val="single" w:color="D0D0D0" w:sz="1"/>
            </w:tcBorders>
            <w:shd w:fill="EEF6F4" w:val="clear"/>
          </w:tcPr>
          <w:p>
            <w:pPr>
              <w:spacing w:after="60" w:before="60"/>
              <w:jc w:val="center"/>
            </w:pPr>
            <w:r>
              <w:rPr>
                <w:rFonts w:ascii="Arial" w:cs="Arial" w:eastAsia="Arial" w:hAnsi="Arial"/>
                <w:b w:val="false"/>
                <w:bCs w:val="false"/>
                <w:color w:val="2C3E50"/>
                <w:sz w:val="20"/>
                <w:szCs w:val="20"/>
              </w:rPr>
              <w:t xml:space="preserve">127.0</w:t>
            </w:r>
          </w:p>
        </w:tc>
        <w:tc>
          <w:tcPr>
            <w:tcW w:type="dxa" w:w="1500"/>
            <w:tcBorders>
              <w:top w:val="single" w:color="D0D0D0" w:sz="1"/>
              <w:left w:val="single" w:color="D0D0D0" w:sz="1"/>
              <w:bottom w:val="single" w:color="D0D0D0" w:sz="1"/>
              <w:right w:val="single" w:color="D0D0D0" w:sz="1"/>
            </w:tcBorders>
            <w:shd w:fill="EEF6F4" w:val="clear"/>
          </w:tcPr>
          <w:p>
            <w:pPr>
              <w:spacing w:after="60" w:before="60"/>
              <w:jc w:val="center"/>
            </w:pPr>
            <w:r>
              <w:rPr>
                <w:rFonts w:ascii="Arial" w:cs="Arial" w:eastAsia="Arial" w:hAnsi="Arial"/>
                <w:b w:val="false"/>
                <w:bCs w:val="false"/>
                <w:color w:val="1565C0"/>
                <w:sz w:val="20"/>
                <w:szCs w:val="20"/>
              </w:rPr>
              <w:t xml:space="preserve">Power User</w:t>
            </w:r>
          </w:p>
        </w:tc>
        <w:tc>
          <w:tcPr>
            <w:tcW w:type="dxa" w:w="2060"/>
            <w:tcBorders>
              <w:top w:val="single" w:color="D0D0D0" w:sz="1"/>
              <w:left w:val="single" w:color="D0D0D0" w:sz="1"/>
              <w:bottom w:val="single" w:color="D0D0D0" w:sz="1"/>
              <w:right w:val="single" w:color="D0D0D0" w:sz="1"/>
            </w:tcBorders>
            <w:shd w:fill="EEF6F4" w:val="clear"/>
          </w:tcPr>
          <w:p>
            <w:pPr>
              <w:spacing w:after="60" w:before="60"/>
              <w:jc w:val="left"/>
            </w:pPr>
            <w:r>
              <w:rPr>
                <w:rFonts w:ascii="Arial" w:cs="Arial" w:eastAsia="Arial" w:hAnsi="Arial"/>
                <w:b w:val="false"/>
                <w:bCs w:val="false"/>
                <w:color w:val="555555"/>
                <w:sz w:val="20"/>
                <w:szCs w:val="20"/>
              </w:rPr>
              <w:t xml:space="preserve">Daily session depth 2+ hours</w:t>
            </w:r>
          </w:p>
        </w:tc>
      </w:tr>
      <w:tr>
        <w:tc>
          <w:tcPr>
            <w:tcW w:type="dxa" w:w="1400"/>
            <w:tcBorders>
              <w:top w:val="single" w:color="D0D0D0" w:sz="1"/>
              <w:left w:val="single" w:color="D0D0D0" w:sz="1"/>
              <w:bottom w:val="single" w:color="D0D0D0" w:sz="1"/>
              <w:right w:val="single" w:color="D0D0D0" w:sz="1"/>
            </w:tcBorders>
            <w:shd w:fill="EEF6F4" w:val="clear"/>
          </w:tcPr>
          <w:p>
            <w:pPr>
              <w:spacing w:after="60" w:before="60"/>
              <w:jc w:val="left"/>
            </w:pPr>
            <w:r>
              <w:rPr>
                <w:rFonts w:ascii="Arial" w:cs="Arial" w:eastAsia="Arial" w:hAnsi="Arial"/>
                <w:b w:val="false"/>
                <w:bCs w:val="false"/>
                <w:color w:val="2C3E50"/>
                <w:sz w:val="20"/>
                <w:szCs w:val="20"/>
              </w:rPr>
              <w:t xml:space="preserve">7 shows</w:t>
            </w:r>
          </w:p>
        </w:tc>
        <w:tc>
          <w:tcPr>
            <w:tcW w:type="dxa" w:w="1300"/>
            <w:tcBorders>
              <w:top w:val="single" w:color="D0D0D0" w:sz="1"/>
              <w:left w:val="single" w:color="D0D0D0" w:sz="1"/>
              <w:bottom w:val="single" w:color="D0D0D0" w:sz="1"/>
              <w:right w:val="single" w:color="D0D0D0" w:sz="1"/>
            </w:tcBorders>
            <w:shd w:fill="EEF6F4" w:val="clear"/>
          </w:tcPr>
          <w:p>
            <w:pPr>
              <w:spacing w:after="60" w:before="60"/>
              <w:jc w:val="right"/>
            </w:pPr>
            <w:r>
              <w:rPr>
                <w:rFonts w:ascii="Arial" w:cs="Arial" w:eastAsia="Arial" w:hAnsi="Arial"/>
                <w:b w:val="false"/>
                <w:bCs w:val="false"/>
                <w:color w:val="2C3E50"/>
                <w:sz w:val="20"/>
                <w:szCs w:val="20"/>
              </w:rPr>
              <w:t xml:space="preserve">2,219</w:t>
            </w:r>
          </w:p>
        </w:tc>
        <w:tc>
          <w:tcPr>
            <w:tcW w:type="dxa" w:w="1400"/>
            <w:tcBorders>
              <w:top w:val="single" w:color="D0D0D0" w:sz="1"/>
              <w:left w:val="single" w:color="D0D0D0" w:sz="1"/>
              <w:bottom w:val="single" w:color="D0D0D0" w:sz="1"/>
              <w:right w:val="single" w:color="D0D0D0" w:sz="1"/>
            </w:tcBorders>
            <w:shd w:fill="EEF6F4" w:val="clear"/>
          </w:tcPr>
          <w:p>
            <w:pPr>
              <w:spacing w:after="60" w:before="60"/>
              <w:jc w:val="center"/>
            </w:pPr>
            <w:r>
              <w:rPr>
                <w:rFonts w:ascii="Arial" w:cs="Arial" w:eastAsia="Arial" w:hAnsi="Arial"/>
                <w:b w:val="false"/>
                <w:bCs w:val="false"/>
                <w:color w:val="2C3E50"/>
                <w:sz w:val="20"/>
                <w:szCs w:val="20"/>
              </w:rPr>
              <w:t xml:space="preserve">0.6%</w:t>
            </w:r>
          </w:p>
        </w:tc>
        <w:tc>
          <w:tcPr>
            <w:tcW w:type="dxa" w:w="1300"/>
            <w:tcBorders>
              <w:top w:val="single" w:color="D0D0D0" w:sz="1"/>
              <w:left w:val="single" w:color="D0D0D0" w:sz="1"/>
              <w:bottom w:val="single" w:color="D0D0D0" w:sz="1"/>
              <w:right w:val="single" w:color="D0D0D0" w:sz="1"/>
            </w:tcBorders>
            <w:shd w:fill="EEF6F4" w:val="clear"/>
          </w:tcPr>
          <w:p>
            <w:pPr>
              <w:spacing w:after="60" w:before="60"/>
              <w:jc w:val="center"/>
            </w:pPr>
            <w:r>
              <w:rPr>
                <w:rFonts w:ascii="Arial" w:cs="Arial" w:eastAsia="Arial" w:hAnsi="Arial"/>
                <w:b w:val="false"/>
                <w:bCs w:val="false"/>
                <w:color w:val="2C3E50"/>
                <w:sz w:val="20"/>
                <w:szCs w:val="20"/>
              </w:rPr>
              <w:t xml:space="preserve">135.7</w:t>
            </w:r>
          </w:p>
        </w:tc>
        <w:tc>
          <w:tcPr>
            <w:tcW w:type="dxa" w:w="1500"/>
            <w:tcBorders>
              <w:top w:val="single" w:color="D0D0D0" w:sz="1"/>
              <w:left w:val="single" w:color="D0D0D0" w:sz="1"/>
              <w:bottom w:val="single" w:color="D0D0D0" w:sz="1"/>
              <w:right w:val="single" w:color="D0D0D0" w:sz="1"/>
            </w:tcBorders>
            <w:shd w:fill="EEF6F4" w:val="clear"/>
          </w:tcPr>
          <w:p>
            <w:pPr>
              <w:spacing w:after="60" w:before="60"/>
              <w:jc w:val="center"/>
            </w:pPr>
            <w:r>
              <w:rPr>
                <w:rFonts w:ascii="Arial" w:cs="Arial" w:eastAsia="Arial" w:hAnsi="Arial"/>
                <w:b w:val="false"/>
                <w:bCs w:val="false"/>
                <w:color w:val="1565C0"/>
                <w:sz w:val="20"/>
                <w:szCs w:val="20"/>
              </w:rPr>
              <w:t xml:space="preserve">Power User</w:t>
            </w:r>
          </w:p>
        </w:tc>
        <w:tc>
          <w:tcPr>
            <w:tcW w:type="dxa" w:w="2060"/>
            <w:tcBorders>
              <w:top w:val="single" w:color="D0D0D0" w:sz="1"/>
              <w:left w:val="single" w:color="D0D0D0" w:sz="1"/>
              <w:bottom w:val="single" w:color="D0D0D0" w:sz="1"/>
              <w:right w:val="single" w:color="D0D0D0" w:sz="1"/>
            </w:tcBorders>
            <w:shd w:fill="EEF6F4" w:val="clear"/>
          </w:tcPr>
          <w:p>
            <w:pPr>
              <w:spacing w:after="60" w:before="60"/>
              <w:jc w:val="left"/>
            </w:pPr>
            <w:r>
              <w:rPr>
                <w:rFonts w:ascii="Arial" w:cs="Arial" w:eastAsia="Arial" w:hAnsi="Arial"/>
                <w:b w:val="false"/>
                <w:bCs w:val="false"/>
                <w:color w:val="555555"/>
                <w:sz w:val="20"/>
                <w:szCs w:val="20"/>
              </w:rPr>
              <w:t xml:space="preserve">Deep daily engagement</w:t>
            </w:r>
          </w:p>
        </w:tc>
      </w:tr>
      <w:tr>
        <w:tc>
          <w:tcPr>
            <w:tcW w:type="dxa" w:w="1400"/>
            <w:tcBorders>
              <w:top w:val="single" w:color="D0D0D0" w:sz="1"/>
              <w:left w:val="single" w:color="D0D0D0" w:sz="1"/>
              <w:bottom w:val="single" w:color="D0D0D0" w:sz="1"/>
              <w:right w:val="single" w:color="D0D0D0" w:sz="1"/>
            </w:tcBorders>
            <w:shd w:fill="EEF6F4" w:val="clear"/>
          </w:tcPr>
          <w:p>
            <w:pPr>
              <w:spacing w:after="60" w:before="60"/>
              <w:jc w:val="left"/>
            </w:pPr>
            <w:r>
              <w:rPr>
                <w:rFonts w:ascii="Arial" w:cs="Arial" w:eastAsia="Arial" w:hAnsi="Arial"/>
                <w:b w:val="false"/>
                <w:bCs w:val="false"/>
                <w:color w:val="2C3E50"/>
                <w:sz w:val="20"/>
                <w:szCs w:val="20"/>
              </w:rPr>
              <w:t xml:space="preserve">8 shows</w:t>
            </w:r>
          </w:p>
        </w:tc>
        <w:tc>
          <w:tcPr>
            <w:tcW w:type="dxa" w:w="1300"/>
            <w:tcBorders>
              <w:top w:val="single" w:color="D0D0D0" w:sz="1"/>
              <w:left w:val="single" w:color="D0D0D0" w:sz="1"/>
              <w:bottom w:val="single" w:color="D0D0D0" w:sz="1"/>
              <w:right w:val="single" w:color="D0D0D0" w:sz="1"/>
            </w:tcBorders>
            <w:shd w:fill="EEF6F4" w:val="clear"/>
          </w:tcPr>
          <w:p>
            <w:pPr>
              <w:spacing w:after="60" w:before="60"/>
              <w:jc w:val="right"/>
            </w:pPr>
            <w:r>
              <w:rPr>
                <w:rFonts w:ascii="Arial" w:cs="Arial" w:eastAsia="Arial" w:hAnsi="Arial"/>
                <w:b w:val="false"/>
                <w:bCs w:val="false"/>
                <w:color w:val="2C3E50"/>
                <w:sz w:val="20"/>
                <w:szCs w:val="20"/>
              </w:rPr>
              <w:t xml:space="preserve">1,578</w:t>
            </w:r>
          </w:p>
        </w:tc>
        <w:tc>
          <w:tcPr>
            <w:tcW w:type="dxa" w:w="1400"/>
            <w:tcBorders>
              <w:top w:val="single" w:color="D0D0D0" w:sz="1"/>
              <w:left w:val="single" w:color="D0D0D0" w:sz="1"/>
              <w:bottom w:val="single" w:color="D0D0D0" w:sz="1"/>
              <w:right w:val="single" w:color="D0D0D0" w:sz="1"/>
            </w:tcBorders>
            <w:shd w:fill="EEF6F4" w:val="clear"/>
          </w:tcPr>
          <w:p>
            <w:pPr>
              <w:spacing w:after="60" w:before="60"/>
              <w:jc w:val="center"/>
            </w:pPr>
            <w:r>
              <w:rPr>
                <w:rFonts w:ascii="Arial" w:cs="Arial" w:eastAsia="Arial" w:hAnsi="Arial"/>
                <w:b w:val="false"/>
                <w:bCs w:val="false"/>
                <w:color w:val="2C3E50"/>
                <w:sz w:val="20"/>
                <w:szCs w:val="20"/>
              </w:rPr>
              <w:t xml:space="preserve">0.4%</w:t>
            </w:r>
          </w:p>
        </w:tc>
        <w:tc>
          <w:tcPr>
            <w:tcW w:type="dxa" w:w="1300"/>
            <w:tcBorders>
              <w:top w:val="single" w:color="D0D0D0" w:sz="1"/>
              <w:left w:val="single" w:color="D0D0D0" w:sz="1"/>
              <w:bottom w:val="single" w:color="D0D0D0" w:sz="1"/>
              <w:right w:val="single" w:color="D0D0D0" w:sz="1"/>
            </w:tcBorders>
            <w:shd w:fill="EEF6F4" w:val="clear"/>
          </w:tcPr>
          <w:p>
            <w:pPr>
              <w:spacing w:after="60" w:before="60"/>
              <w:jc w:val="center"/>
            </w:pPr>
            <w:r>
              <w:rPr>
                <w:rFonts w:ascii="Arial" w:cs="Arial" w:eastAsia="Arial" w:hAnsi="Arial"/>
                <w:b w:val="false"/>
                <w:bCs w:val="false"/>
                <w:color w:val="2C3E50"/>
                <w:sz w:val="20"/>
                <w:szCs w:val="20"/>
              </w:rPr>
              <w:t xml:space="preserve">147.1</w:t>
            </w:r>
          </w:p>
        </w:tc>
        <w:tc>
          <w:tcPr>
            <w:tcW w:type="dxa" w:w="1500"/>
            <w:tcBorders>
              <w:top w:val="single" w:color="D0D0D0" w:sz="1"/>
              <w:left w:val="single" w:color="D0D0D0" w:sz="1"/>
              <w:bottom w:val="single" w:color="D0D0D0" w:sz="1"/>
              <w:right w:val="single" w:color="D0D0D0" w:sz="1"/>
            </w:tcBorders>
            <w:shd w:fill="EEF6F4" w:val="clear"/>
          </w:tcPr>
          <w:p>
            <w:pPr>
              <w:spacing w:after="60" w:before="60"/>
              <w:jc w:val="center"/>
            </w:pPr>
            <w:r>
              <w:rPr>
                <w:rFonts w:ascii="Arial" w:cs="Arial" w:eastAsia="Arial" w:hAnsi="Arial"/>
                <w:b w:val="false"/>
                <w:bCs w:val="false"/>
                <w:color w:val="1565C0"/>
                <w:sz w:val="20"/>
                <w:szCs w:val="20"/>
              </w:rPr>
              <w:t xml:space="preserve">Power User</w:t>
            </w:r>
          </w:p>
        </w:tc>
        <w:tc>
          <w:tcPr>
            <w:tcW w:type="dxa" w:w="2060"/>
            <w:tcBorders>
              <w:top w:val="single" w:color="D0D0D0" w:sz="1"/>
              <w:left w:val="single" w:color="D0D0D0" w:sz="1"/>
              <w:bottom w:val="single" w:color="D0D0D0" w:sz="1"/>
              <w:right w:val="single" w:color="D0D0D0" w:sz="1"/>
            </w:tcBorders>
            <w:shd w:fill="EEF6F4" w:val="clear"/>
          </w:tcPr>
          <w:p>
            <w:pPr>
              <w:spacing w:after="60" w:before="60"/>
              <w:jc w:val="left"/>
            </w:pPr>
            <w:r>
              <w:rPr>
                <w:rFonts w:ascii="Arial" w:cs="Arial" w:eastAsia="Arial" w:hAnsi="Arial"/>
                <w:b w:val="false"/>
                <w:bCs w:val="false"/>
                <w:color w:val="555555"/>
                <w:sz w:val="20"/>
                <w:szCs w:val="20"/>
              </w:rPr>
              <w:t xml:space="preserve">Strong loyalty signal</w:t>
            </w:r>
          </w:p>
        </w:tc>
      </w:tr>
      <w:tr>
        <w:tc>
          <w:tcPr>
            <w:tcW w:type="dxa" w:w="1400"/>
            <w:tcBorders>
              <w:top w:val="single" w:color="D0D0D0" w:sz="1"/>
              <w:left w:val="single" w:color="D0D0D0" w:sz="1"/>
              <w:bottom w:val="single" w:color="D0D0D0" w:sz="1"/>
              <w:right w:val="single" w:color="D0D0D0" w:sz="1"/>
            </w:tcBorders>
            <w:shd w:fill="EEF6F4" w:val="clear"/>
          </w:tcPr>
          <w:p>
            <w:pPr>
              <w:spacing w:after="60" w:before="60"/>
              <w:jc w:val="left"/>
            </w:pPr>
            <w:r>
              <w:rPr>
                <w:rFonts w:ascii="Arial" w:cs="Arial" w:eastAsia="Arial" w:hAnsi="Arial"/>
                <w:b w:val="false"/>
                <w:bCs w:val="false"/>
                <w:color w:val="2C3E50"/>
                <w:sz w:val="20"/>
                <w:szCs w:val="20"/>
              </w:rPr>
              <w:t xml:space="preserve">9 shows</w:t>
            </w:r>
          </w:p>
        </w:tc>
        <w:tc>
          <w:tcPr>
            <w:tcW w:type="dxa" w:w="1300"/>
            <w:tcBorders>
              <w:top w:val="single" w:color="D0D0D0" w:sz="1"/>
              <w:left w:val="single" w:color="D0D0D0" w:sz="1"/>
              <w:bottom w:val="single" w:color="D0D0D0" w:sz="1"/>
              <w:right w:val="single" w:color="D0D0D0" w:sz="1"/>
            </w:tcBorders>
            <w:shd w:fill="EEF6F4" w:val="clear"/>
          </w:tcPr>
          <w:p>
            <w:pPr>
              <w:spacing w:after="60" w:before="60"/>
              <w:jc w:val="right"/>
            </w:pPr>
            <w:r>
              <w:rPr>
                <w:rFonts w:ascii="Arial" w:cs="Arial" w:eastAsia="Arial" w:hAnsi="Arial"/>
                <w:b w:val="false"/>
                <w:bCs w:val="false"/>
                <w:color w:val="2C3E50"/>
                <w:sz w:val="20"/>
                <w:szCs w:val="20"/>
              </w:rPr>
              <w:t xml:space="preserve">1,124</w:t>
            </w:r>
          </w:p>
        </w:tc>
        <w:tc>
          <w:tcPr>
            <w:tcW w:type="dxa" w:w="1400"/>
            <w:tcBorders>
              <w:top w:val="single" w:color="D0D0D0" w:sz="1"/>
              <w:left w:val="single" w:color="D0D0D0" w:sz="1"/>
              <w:bottom w:val="single" w:color="D0D0D0" w:sz="1"/>
              <w:right w:val="single" w:color="D0D0D0" w:sz="1"/>
            </w:tcBorders>
            <w:shd w:fill="EEF6F4" w:val="clear"/>
          </w:tcPr>
          <w:p>
            <w:pPr>
              <w:spacing w:after="60" w:before="60"/>
              <w:jc w:val="center"/>
            </w:pPr>
            <w:r>
              <w:rPr>
                <w:rFonts w:ascii="Arial" w:cs="Arial" w:eastAsia="Arial" w:hAnsi="Arial"/>
                <w:b w:val="false"/>
                <w:bCs w:val="false"/>
                <w:color w:val="2C3E50"/>
                <w:sz w:val="20"/>
                <w:szCs w:val="20"/>
              </w:rPr>
              <w:t xml:space="preserve">0.3%</w:t>
            </w:r>
          </w:p>
        </w:tc>
        <w:tc>
          <w:tcPr>
            <w:tcW w:type="dxa" w:w="1300"/>
            <w:tcBorders>
              <w:top w:val="single" w:color="D0D0D0" w:sz="1"/>
              <w:left w:val="single" w:color="D0D0D0" w:sz="1"/>
              <w:bottom w:val="single" w:color="D0D0D0" w:sz="1"/>
              <w:right w:val="single" w:color="D0D0D0" w:sz="1"/>
            </w:tcBorders>
            <w:shd w:fill="EEF6F4" w:val="clear"/>
          </w:tcPr>
          <w:p>
            <w:pPr>
              <w:spacing w:after="60" w:before="60"/>
              <w:jc w:val="center"/>
            </w:pPr>
            <w:r>
              <w:rPr>
                <w:rFonts w:ascii="Arial" w:cs="Arial" w:eastAsia="Arial" w:hAnsi="Arial"/>
                <w:b w:val="false"/>
                <w:bCs w:val="false"/>
                <w:color w:val="2C3E50"/>
                <w:sz w:val="20"/>
                <w:szCs w:val="20"/>
              </w:rPr>
              <w:t xml:space="preserve">150.4</w:t>
            </w:r>
          </w:p>
        </w:tc>
        <w:tc>
          <w:tcPr>
            <w:tcW w:type="dxa" w:w="1500"/>
            <w:tcBorders>
              <w:top w:val="single" w:color="D0D0D0" w:sz="1"/>
              <w:left w:val="single" w:color="D0D0D0" w:sz="1"/>
              <w:bottom w:val="single" w:color="D0D0D0" w:sz="1"/>
              <w:right w:val="single" w:color="D0D0D0" w:sz="1"/>
            </w:tcBorders>
            <w:shd w:fill="EEF6F4" w:val="clear"/>
          </w:tcPr>
          <w:p>
            <w:pPr>
              <w:spacing w:after="60" w:before="60"/>
              <w:jc w:val="center"/>
            </w:pPr>
            <w:r>
              <w:rPr>
                <w:rFonts w:ascii="Arial" w:cs="Arial" w:eastAsia="Arial" w:hAnsi="Arial"/>
                <w:b w:val="false"/>
                <w:bCs w:val="false"/>
                <w:color w:val="1565C0"/>
                <w:sz w:val="20"/>
                <w:szCs w:val="20"/>
              </w:rPr>
              <w:t xml:space="preserve">Power User</w:t>
            </w:r>
          </w:p>
        </w:tc>
        <w:tc>
          <w:tcPr>
            <w:tcW w:type="dxa" w:w="2060"/>
            <w:tcBorders>
              <w:top w:val="single" w:color="D0D0D0" w:sz="1"/>
              <w:left w:val="single" w:color="D0D0D0" w:sz="1"/>
              <w:bottom w:val="single" w:color="D0D0D0" w:sz="1"/>
              <w:right w:val="single" w:color="D0D0D0" w:sz="1"/>
            </w:tcBorders>
            <w:shd w:fill="EEF6F4" w:val="clear"/>
          </w:tcPr>
          <w:p>
            <w:pPr>
              <w:spacing w:after="60" w:before="60"/>
              <w:jc w:val="left"/>
            </w:pPr>
            <w:r>
              <w:rPr>
                <w:rFonts w:ascii="Arial" w:cs="Arial" w:eastAsia="Arial" w:hAnsi="Arial"/>
                <w:b w:val="false"/>
                <w:bCs w:val="false"/>
                <w:color w:val="555555"/>
                <w:sz w:val="20"/>
                <w:szCs w:val="20"/>
              </w:rPr>
              <w:t xml:space="preserve">Near-ceiling viewing</w:t>
            </w:r>
          </w:p>
        </w:tc>
      </w:tr>
      <w:tr>
        <w:tc>
          <w:tcPr>
            <w:tcW w:type="dxa" w:w="1400"/>
            <w:tcBorders>
              <w:top w:val="single" w:color="D0D0D0" w:sz="1"/>
              <w:left w:val="single" w:color="D0D0D0" w:sz="1"/>
              <w:bottom w:val="single" w:color="D0D0D0" w:sz="1"/>
              <w:right w:val="single" w:color="D0D0D0" w:sz="1"/>
            </w:tcBorders>
            <w:shd w:fill="F3E5F5" w:val="clear"/>
          </w:tcPr>
          <w:p>
            <w:pPr>
              <w:spacing w:after="60" w:before="60"/>
              <w:jc w:val="left"/>
            </w:pPr>
            <w:r>
              <w:rPr>
                <w:rFonts w:ascii="Arial" w:cs="Arial" w:eastAsia="Arial" w:hAnsi="Arial"/>
                <w:b w:val="false"/>
                <w:bCs w:val="false"/>
                <w:color w:val="2C3E50"/>
                <w:sz w:val="20"/>
                <w:szCs w:val="20"/>
              </w:rPr>
              <w:t xml:space="preserve">10 shows</w:t>
            </w:r>
          </w:p>
        </w:tc>
        <w:tc>
          <w:tcPr>
            <w:tcW w:type="dxa" w:w="1300"/>
            <w:tcBorders>
              <w:top w:val="single" w:color="D0D0D0" w:sz="1"/>
              <w:left w:val="single" w:color="D0D0D0" w:sz="1"/>
              <w:bottom w:val="single" w:color="D0D0D0" w:sz="1"/>
              <w:right w:val="single" w:color="D0D0D0" w:sz="1"/>
            </w:tcBorders>
            <w:shd w:fill="F3E5F5" w:val="clear"/>
          </w:tcPr>
          <w:p>
            <w:pPr>
              <w:spacing w:after="60" w:before="60"/>
              <w:jc w:val="right"/>
            </w:pPr>
            <w:r>
              <w:rPr>
                <w:rFonts w:ascii="Arial" w:cs="Arial" w:eastAsia="Arial" w:hAnsi="Arial"/>
                <w:b w:val="false"/>
                <w:bCs w:val="false"/>
                <w:color w:val="2C3E50"/>
                <w:sz w:val="20"/>
                <w:szCs w:val="20"/>
              </w:rPr>
              <w:t xml:space="preserve">833</w:t>
            </w:r>
          </w:p>
        </w:tc>
        <w:tc>
          <w:tcPr>
            <w:tcW w:type="dxa" w:w="1400"/>
            <w:tcBorders>
              <w:top w:val="single" w:color="D0D0D0" w:sz="1"/>
              <w:left w:val="single" w:color="D0D0D0" w:sz="1"/>
              <w:bottom w:val="single" w:color="D0D0D0" w:sz="1"/>
              <w:right w:val="single" w:color="D0D0D0" w:sz="1"/>
            </w:tcBorders>
            <w:shd w:fill="F3E5F5" w:val="clear"/>
          </w:tcPr>
          <w:p>
            <w:pPr>
              <w:spacing w:after="60" w:before="60"/>
              <w:jc w:val="center"/>
            </w:pPr>
            <w:r>
              <w:rPr>
                <w:rFonts w:ascii="Arial" w:cs="Arial" w:eastAsia="Arial" w:hAnsi="Arial"/>
                <w:b w:val="false"/>
                <w:bCs w:val="false"/>
                <w:color w:val="2C3E50"/>
                <w:sz w:val="20"/>
                <w:szCs w:val="20"/>
              </w:rPr>
              <w:t xml:space="preserve">0.2%</w:t>
            </w:r>
          </w:p>
        </w:tc>
        <w:tc>
          <w:tcPr>
            <w:tcW w:type="dxa" w:w="1300"/>
            <w:tcBorders>
              <w:top w:val="single" w:color="D0D0D0" w:sz="1"/>
              <w:left w:val="single" w:color="D0D0D0" w:sz="1"/>
              <w:bottom w:val="single" w:color="D0D0D0" w:sz="1"/>
              <w:right w:val="single" w:color="D0D0D0" w:sz="1"/>
            </w:tcBorders>
            <w:shd w:fill="F3E5F5" w:val="clear"/>
          </w:tcPr>
          <w:p>
            <w:pPr>
              <w:spacing w:after="60" w:before="60"/>
              <w:jc w:val="center"/>
            </w:pPr>
            <w:r>
              <w:rPr>
                <w:rFonts w:ascii="Arial" w:cs="Arial" w:eastAsia="Arial" w:hAnsi="Arial"/>
                <w:b w:val="false"/>
                <w:bCs w:val="false"/>
                <w:color w:val="2C3E50"/>
                <w:sz w:val="20"/>
                <w:szCs w:val="20"/>
              </w:rPr>
              <w:t xml:space="preserve">165.9</w:t>
            </w:r>
          </w:p>
        </w:tc>
        <w:tc>
          <w:tcPr>
            <w:tcW w:type="dxa" w:w="1500"/>
            <w:tcBorders>
              <w:top w:val="single" w:color="D0D0D0" w:sz="1"/>
              <w:left w:val="single" w:color="D0D0D0" w:sz="1"/>
              <w:bottom w:val="single" w:color="D0D0D0" w:sz="1"/>
              <w:right w:val="single" w:color="D0D0D0" w:sz="1"/>
            </w:tcBorders>
            <w:shd w:fill="F3E5F5" w:val="clear"/>
          </w:tcPr>
          <w:p>
            <w:pPr>
              <w:spacing w:after="60" w:before="60"/>
              <w:jc w:val="center"/>
            </w:pPr>
            <w:r>
              <w:rPr>
                <w:rFonts w:ascii="Arial" w:cs="Arial" w:eastAsia="Arial" w:hAnsi="Arial"/>
                <w:b w:val="false"/>
                <w:bCs w:val="false"/>
                <w:color w:val="7B1FA2"/>
                <w:sz w:val="20"/>
                <w:szCs w:val="20"/>
              </w:rPr>
              <w:t xml:space="preserve">Super Fan</w:t>
            </w:r>
          </w:p>
        </w:tc>
        <w:tc>
          <w:tcPr>
            <w:tcW w:type="dxa" w:w="2060"/>
            <w:tcBorders>
              <w:top w:val="single" w:color="D0D0D0" w:sz="1"/>
              <w:left w:val="single" w:color="D0D0D0" w:sz="1"/>
              <w:bottom w:val="single" w:color="D0D0D0" w:sz="1"/>
              <w:right w:val="single" w:color="D0D0D0" w:sz="1"/>
            </w:tcBorders>
            <w:shd w:fill="F3E5F5" w:val="clear"/>
          </w:tcPr>
          <w:p>
            <w:pPr>
              <w:spacing w:after="60" w:before="60"/>
              <w:jc w:val="left"/>
            </w:pPr>
            <w:r>
              <w:rPr>
                <w:rFonts w:ascii="Arial" w:cs="Arial" w:eastAsia="Arial" w:hAnsi="Arial"/>
                <w:b w:val="false"/>
                <w:bCs w:val="false"/>
                <w:color w:val="555555"/>
                <w:sz w:val="20"/>
                <w:szCs w:val="20"/>
              </w:rPr>
              <w:t xml:space="preserve">Platform-dedicated behavior</w:t>
            </w:r>
          </w:p>
        </w:tc>
      </w:tr>
      <w:tr>
        <w:tc>
          <w:tcPr>
            <w:tcW w:type="dxa" w:w="1400"/>
            <w:tcBorders>
              <w:top w:val="single" w:color="D0D0D0" w:sz="1"/>
              <w:left w:val="single" w:color="D0D0D0" w:sz="1"/>
              <w:bottom w:val="single" w:color="D0D0D0" w:sz="1"/>
              <w:right w:val="single" w:color="D0D0D0" w:sz="1"/>
            </w:tcBorders>
            <w:shd w:fill="F3E5F5" w:val="clear"/>
          </w:tcPr>
          <w:p>
            <w:pPr>
              <w:spacing w:after="60" w:before="60"/>
              <w:jc w:val="left"/>
            </w:pPr>
            <w:r>
              <w:rPr>
                <w:rFonts w:ascii="Arial" w:cs="Arial" w:eastAsia="Arial" w:hAnsi="Arial"/>
                <w:b w:val="false"/>
                <w:bCs w:val="false"/>
                <w:color w:val="2C3E50"/>
                <w:sz w:val="20"/>
                <w:szCs w:val="20"/>
              </w:rPr>
              <w:t xml:space="preserve">11+ shows</w:t>
            </w:r>
          </w:p>
        </w:tc>
        <w:tc>
          <w:tcPr>
            <w:tcW w:type="dxa" w:w="1300"/>
            <w:tcBorders>
              <w:top w:val="single" w:color="D0D0D0" w:sz="1"/>
              <w:left w:val="single" w:color="D0D0D0" w:sz="1"/>
              <w:bottom w:val="single" w:color="D0D0D0" w:sz="1"/>
              <w:right w:val="single" w:color="D0D0D0" w:sz="1"/>
            </w:tcBorders>
            <w:shd w:fill="F3E5F5" w:val="clear"/>
          </w:tcPr>
          <w:p>
            <w:pPr>
              <w:spacing w:after="60" w:before="60"/>
              <w:jc w:val="right"/>
            </w:pPr>
            <w:r>
              <w:rPr>
                <w:rFonts w:ascii="Arial" w:cs="Arial" w:eastAsia="Arial" w:hAnsi="Arial"/>
                <w:b w:val="false"/>
                <w:bCs w:val="false"/>
                <w:color w:val="2C3E50"/>
                <w:sz w:val="20"/>
                <w:szCs w:val="20"/>
              </w:rPr>
              <w:t xml:space="preserve">3,527</w:t>
            </w:r>
          </w:p>
        </w:tc>
        <w:tc>
          <w:tcPr>
            <w:tcW w:type="dxa" w:w="1400"/>
            <w:tcBorders>
              <w:top w:val="single" w:color="D0D0D0" w:sz="1"/>
              <w:left w:val="single" w:color="D0D0D0" w:sz="1"/>
              <w:bottom w:val="single" w:color="D0D0D0" w:sz="1"/>
              <w:right w:val="single" w:color="D0D0D0" w:sz="1"/>
            </w:tcBorders>
            <w:shd w:fill="F3E5F5" w:val="clear"/>
          </w:tcPr>
          <w:p>
            <w:pPr>
              <w:spacing w:after="60" w:before="60"/>
              <w:jc w:val="center"/>
            </w:pPr>
            <w:r>
              <w:rPr>
                <w:rFonts w:ascii="Arial" w:cs="Arial" w:eastAsia="Arial" w:hAnsi="Arial"/>
                <w:b w:val="false"/>
                <w:bCs w:val="false"/>
                <w:color w:val="2C3E50"/>
                <w:sz w:val="20"/>
                <w:szCs w:val="20"/>
              </w:rPr>
              <w:t xml:space="preserve">0.9%</w:t>
            </w:r>
          </w:p>
        </w:tc>
        <w:tc>
          <w:tcPr>
            <w:tcW w:type="dxa" w:w="1300"/>
            <w:tcBorders>
              <w:top w:val="single" w:color="D0D0D0" w:sz="1"/>
              <w:left w:val="single" w:color="D0D0D0" w:sz="1"/>
              <w:bottom w:val="single" w:color="D0D0D0" w:sz="1"/>
              <w:right w:val="single" w:color="D0D0D0" w:sz="1"/>
            </w:tcBorders>
            <w:shd w:fill="F3E5F5" w:val="clear"/>
          </w:tcPr>
          <w:p>
            <w:pPr>
              <w:spacing w:after="60" w:before="60"/>
              <w:jc w:val="center"/>
            </w:pPr>
            <w:r>
              <w:rPr>
                <w:rFonts w:ascii="Arial" w:cs="Arial" w:eastAsia="Arial" w:hAnsi="Arial"/>
                <w:b w:val="false"/>
                <w:bCs w:val="false"/>
                <w:color w:val="2C3E50"/>
                <w:sz w:val="20"/>
                <w:szCs w:val="20"/>
              </w:rPr>
              <w:t xml:space="preserve">~161</w:t>
            </w:r>
          </w:p>
        </w:tc>
        <w:tc>
          <w:tcPr>
            <w:tcW w:type="dxa" w:w="1500"/>
            <w:tcBorders>
              <w:top w:val="single" w:color="D0D0D0" w:sz="1"/>
              <w:left w:val="single" w:color="D0D0D0" w:sz="1"/>
              <w:bottom w:val="single" w:color="D0D0D0" w:sz="1"/>
              <w:right w:val="single" w:color="D0D0D0" w:sz="1"/>
            </w:tcBorders>
            <w:shd w:fill="F3E5F5" w:val="clear"/>
          </w:tcPr>
          <w:p>
            <w:pPr>
              <w:spacing w:after="60" w:before="60"/>
              <w:jc w:val="center"/>
            </w:pPr>
            <w:r>
              <w:rPr>
                <w:rFonts w:ascii="Arial" w:cs="Arial" w:eastAsia="Arial" w:hAnsi="Arial"/>
                <w:b w:val="false"/>
                <w:bCs w:val="false"/>
                <w:color w:val="7B1FA2"/>
                <w:sz w:val="20"/>
                <w:szCs w:val="20"/>
              </w:rPr>
              <w:t xml:space="preserve">Super Fan</w:t>
            </w:r>
          </w:p>
        </w:tc>
        <w:tc>
          <w:tcPr>
            <w:tcW w:type="dxa" w:w="2060"/>
            <w:tcBorders>
              <w:top w:val="single" w:color="D0D0D0" w:sz="1"/>
              <w:left w:val="single" w:color="D0D0D0" w:sz="1"/>
              <w:bottom w:val="single" w:color="D0D0D0" w:sz="1"/>
              <w:right w:val="single" w:color="D0D0D0" w:sz="1"/>
            </w:tcBorders>
            <w:shd w:fill="F3E5F5" w:val="clear"/>
          </w:tcPr>
          <w:p>
            <w:pPr>
              <w:spacing w:after="60" w:before="60"/>
              <w:jc w:val="left"/>
            </w:pPr>
            <w:r>
              <w:rPr>
                <w:rFonts w:ascii="Arial" w:cs="Arial" w:eastAsia="Arial" w:hAnsi="Arial"/>
                <w:b w:val="false"/>
                <w:bCs w:val="false"/>
                <w:color w:val="555555"/>
                <w:sz w:val="20"/>
                <w:szCs w:val="20"/>
              </w:rPr>
              <w:t xml:space="preserve">Daily ceiling ~160 min</w:t>
            </w:r>
          </w:p>
        </w:tc>
      </w:tr>
    </w:tbl>
    <w:p>
      <w:pPr>
        <w:spacing w:after="0" w:before="120"/>
      </w:pPr>
      <w:r>
        <w:t xml:space="preserve"/>
      </w:r>
    </w:p>
    <w:p>
      <w:pPr>
        <w:pStyle w:val="SubHeading"/>
      </w:pPr>
      <w:r>
        <w:t xml:space="preserve">Cumulative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Shows Watched (cumulative)</w:t>
            </w:r>
          </w:p>
        </w:tc>
        <w:tc>
          <w:tcPr>
            <w:tcW w:type="dxa" w:w="2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Users</w:t>
            </w:r>
          </w:p>
        </w:tc>
        <w:tc>
          <w:tcPr>
            <w:tcW w:type="dxa" w:w="2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Cumulative %</w:t>
            </w:r>
          </w:p>
        </w:tc>
        <w:tc>
          <w:tcPr>
            <w:tcW w:type="dxa" w:w="27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Implication</w:t>
            </w:r>
          </w:p>
        </w:tc>
      </w:tr>
      <w:tr>
        <w:tc>
          <w:tcPr>
            <w:tcW w:type="dxa" w:w="22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1 show</w:t>
            </w:r>
          </w:p>
        </w:tc>
        <w:tc>
          <w:tcPr>
            <w:tcW w:type="dxa" w:w="22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307,604</w:t>
            </w:r>
          </w:p>
        </w:tc>
        <w:tc>
          <w:tcPr>
            <w:tcW w:type="dxa" w:w="2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76.9%</w:t>
            </w:r>
          </w:p>
        </w:tc>
        <w:tc>
          <w:tcPr>
            <w:tcW w:type="dxa" w:w="27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555555"/>
                <w:sz w:val="20"/>
                <w:szCs w:val="20"/>
              </w:rPr>
              <w:t xml:space="preserve">Single-show majority — platform's primary challenge</w:t>
            </w:r>
          </w:p>
        </w:tc>
      </w:tr>
      <w:tr>
        <w:tc>
          <w:tcPr>
            <w:tcW w:type="dxa" w:w="2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2 shows</w:t>
            </w:r>
          </w:p>
        </w:tc>
        <w:tc>
          <w:tcPr>
            <w:tcW w:type="dxa" w:w="22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353,946</w:t>
            </w:r>
          </w:p>
        </w:tc>
        <w:tc>
          <w:tcPr>
            <w:tcW w:type="dxa" w:w="2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88.5%</w:t>
            </w:r>
          </w:p>
        </w:tc>
        <w:tc>
          <w:tcPr>
            <w:tcW w:type="dxa" w:w="27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555555"/>
                <w:sz w:val="20"/>
                <w:szCs w:val="20"/>
              </w:rPr>
              <w:t xml:space="preserve">Two-show threshold — critical engagement signal</w:t>
            </w:r>
          </w:p>
        </w:tc>
      </w:tr>
      <w:tr>
        <w:tc>
          <w:tcPr>
            <w:tcW w:type="dxa" w:w="22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3 shows</w:t>
            </w:r>
          </w:p>
        </w:tc>
        <w:tc>
          <w:tcPr>
            <w:tcW w:type="dxa" w:w="22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372,158</w:t>
            </w:r>
          </w:p>
        </w:tc>
        <w:tc>
          <w:tcPr>
            <w:tcW w:type="dxa" w:w="2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93.0%</w:t>
            </w:r>
          </w:p>
        </w:tc>
        <w:tc>
          <w:tcPr>
            <w:tcW w:type="dxa" w:w="27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555555"/>
                <w:sz w:val="20"/>
                <w:szCs w:val="20"/>
              </w:rPr>
              <w:t xml:space="preserve">Three-show users: highly engaged, small cohort</w:t>
            </w:r>
          </w:p>
        </w:tc>
      </w:tr>
      <w:tr>
        <w:tc>
          <w:tcPr>
            <w:tcW w:type="dxa" w:w="2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5 shows</w:t>
            </w:r>
          </w:p>
        </w:tc>
        <w:tc>
          <w:tcPr>
            <w:tcW w:type="dxa" w:w="22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387,212</w:t>
            </w:r>
          </w:p>
        </w:tc>
        <w:tc>
          <w:tcPr>
            <w:tcW w:type="dxa" w:w="2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96.8%</w:t>
            </w:r>
          </w:p>
        </w:tc>
        <w:tc>
          <w:tcPr>
            <w:tcW w:type="dxa" w:w="27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555555"/>
                <w:sz w:val="20"/>
                <w:szCs w:val="20"/>
              </w:rPr>
              <w:t xml:space="preserve">Core active audience boundary</w:t>
            </w:r>
          </w:p>
        </w:tc>
      </w:tr>
      <w:tr>
        <w:tc>
          <w:tcPr>
            <w:tcW w:type="dxa" w:w="22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10 shows</w:t>
            </w:r>
          </w:p>
        </w:tc>
        <w:tc>
          <w:tcPr>
            <w:tcW w:type="dxa" w:w="2200"/>
            <w:tcBorders>
              <w:top w:val="single" w:color="D0D0D0" w:sz="1"/>
              <w:left w:val="single" w:color="D0D0D0" w:sz="1"/>
              <w:bottom w:val="single" w:color="D0D0D0" w:sz="1"/>
              <w:right w:val="single" w:color="D0D0D0" w:sz="1"/>
            </w:tcBorders>
            <w:shd w:fill="F8F8F8" w:val="clear"/>
          </w:tcPr>
          <w:p>
            <w:pPr>
              <w:spacing w:after="60" w:before="60"/>
              <w:jc w:val="right"/>
            </w:pPr>
            <w:r>
              <w:rPr>
                <w:rFonts w:ascii="Arial" w:cs="Arial" w:eastAsia="Arial" w:hAnsi="Arial"/>
                <w:b w:val="false"/>
                <w:bCs w:val="false"/>
                <w:color w:val="2C3E50"/>
                <w:sz w:val="20"/>
                <w:szCs w:val="20"/>
              </w:rPr>
              <w:t xml:space="preserve">396,439</w:t>
            </w:r>
          </w:p>
        </w:tc>
        <w:tc>
          <w:tcPr>
            <w:tcW w:type="dxa" w:w="2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99.1%</w:t>
            </w:r>
          </w:p>
        </w:tc>
        <w:tc>
          <w:tcPr>
            <w:tcW w:type="dxa" w:w="27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555555"/>
                <w:sz w:val="20"/>
                <w:szCs w:val="20"/>
              </w:rPr>
              <w:t xml:space="preserve">99% of audience captured at 10-show threshold</w:t>
            </w:r>
          </w:p>
        </w:tc>
      </w:tr>
    </w:tbl>
    <w:p>
      <w:pPr>
        <w:spacing w:after="0" w:before="120"/>
      </w:pPr>
      <w:r>
        <w:t xml:space="preserve"/>
      </w:r>
    </w:p>
    <w:p>
      <w:pPr>
        <w:pStyle w:val="SubHeading"/>
      </w:pPr>
      <w:r>
        <w:t xml:space="preserve">Key Findings</w:t>
      </w:r>
    </w:p>
    <w:p>
      <w:pPr>
        <w:pStyle w:val="ListParagraph"/>
        <w:numPr>
          <w:ilvl w:val="0"/>
          <w:numId w:val="2"/>
        </w:numPr>
      </w:pPr>
      <w:r>
        <w:rPr>
          <w:rFonts w:ascii="Arial" w:cs="Arial" w:eastAsia="Arial" w:hAnsi="Arial"/>
          <w:color w:val="2C3E50"/>
          <w:sz w:val="21"/>
          <w:szCs w:val="21"/>
        </w:rPr>
        <w:t xml:space="preserve">The single-show majority (76.9%, 308K users) is the defining structural challenge of Fatafat's engagement landscape. These users generate only 7.8 min avg — far below the platform average and far below commercial monetization thresholds for most ad products.</w:t>
      </w:r>
    </w:p>
    <w:p>
      <w:pPr>
        <w:pStyle w:val="ListParagraph"/>
        <w:numPr>
          <w:ilvl w:val="0"/>
          <w:numId w:val="2"/>
        </w:numPr>
      </w:pPr>
      <w:r>
        <w:rPr>
          <w:rFonts w:ascii="Arial" w:cs="Arial" w:eastAsia="Arial" w:hAnsi="Arial"/>
          <w:color w:val="2C3E50"/>
          <w:sz w:val="21"/>
          <w:szCs w:val="21"/>
        </w:rPr>
        <w:t xml:space="preserve">The 1→2 show transition produces a 5.5x watchtime increase (7.8 → 43.1 min). No other single behavioral event in the data produces an equivalent magnitude of watchtime change. This is the highest-leverage conversion point on the platform.</w:t>
      </w:r>
    </w:p>
    <w:p>
      <w:pPr>
        <w:pStyle w:val="ListParagraph"/>
        <w:numPr>
          <w:ilvl w:val="0"/>
          <w:numId w:val="2"/>
        </w:numPr>
      </w:pPr>
      <w:r>
        <w:rPr>
          <w:rFonts w:ascii="Arial" w:cs="Arial" w:eastAsia="Arial" w:hAnsi="Arial"/>
          <w:color w:val="2C3E50"/>
          <w:sz w:val="21"/>
          <w:szCs w:val="21"/>
        </w:rPr>
        <w:t xml:space="preserve">Only 23.1% of users (92K) watch 2+ shows. This small cohort drives the substantial majority of total daily watchtime. Converting even 5% of single-show samplers (15K users) to 2-show viewers would meaningfully impact platform-level watchtime.</w:t>
      </w:r>
    </w:p>
    <w:p>
      <w:pPr>
        <w:pStyle w:val="ListParagraph"/>
        <w:numPr>
          <w:ilvl w:val="0"/>
          <w:numId w:val="2"/>
        </w:numPr>
      </w:pPr>
      <w:r>
        <w:rPr>
          <w:rFonts w:ascii="Arial" w:cs="Arial" w:eastAsia="Arial" w:hAnsi="Arial"/>
          <w:color w:val="2C3E50"/>
          <w:sz w:val="21"/>
          <w:szCs w:val="21"/>
        </w:rPr>
        <w:t xml:space="preserve">Watchtime plateaus at approximately 160 minutes after 10+ shows — representing a natural daily consumption ceiling of 2.5–3 hours. Platform mechanics (content library size, UX design) should be designed with this ceiling in mind.</w:t>
      </w:r>
    </w:p>
    <w:p>
      <w:pPr>
        <w:pStyle w:val="ListParagraph"/>
        <w:numPr>
          <w:ilvl w:val="0"/>
          <w:numId w:val="2"/>
        </w:numPr>
      </w:pPr>
      <w:r>
        <w:rPr>
          <w:rFonts w:ascii="Arial" w:cs="Arial" w:eastAsia="Arial" w:hAnsi="Arial"/>
          <w:color w:val="2C3E50"/>
          <w:sz w:val="21"/>
          <w:szCs w:val="21"/>
        </w:rPr>
        <w:t xml:space="preserve">The escalation is rapid and near-linear through the first 8–10 shows, suggesting each additional show watched produces a roughly constant watchtime increment — a favorable engagement function for content recommendation optimization.</w:t>
      </w:r>
    </w:p>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single" w:color="C2185B" w:sz="18"/>
              <w:bottom w:val="single" w:color="EEEEEE" w:sz="2"/>
              <w:right w:val="single" w:color="EEEEEE" w:sz="2"/>
            </w:tcBorders>
            <w:shd w:fill="FFF5F7" w:val="clear"/>
          </w:tcPr>
          <w:p>
            <w:pPr>
              <w:spacing w:after="120" w:before="120"/>
            </w:pPr>
            <w:r>
              <w:rPr>
                <w:rFonts w:ascii="Arial" w:cs="Arial" w:eastAsia="Arial" w:hAnsi="Arial"/>
                <w:b/>
                <w:bCs/>
                <w:color w:val="C2185B"/>
                <w:sz w:val="22"/>
                <w:szCs w:val="22"/>
              </w:rPr>
              <w:t xml:space="preserve">Growth opportunity: If the "For You" recommendation system could convert the 76.9% single-show sampler cohort to a 2-show explorer cohort at even a 10% rate (30K additional 2-show users), total daily watchtime would increase by approximately 1.1M minutes per day.</w:t>
            </w:r>
          </w:p>
        </w:tc>
      </w:tr>
    </w:tbl>
    <w:p>
      <w:pPr>
        <w:spacing w:after="0" w:before="200"/>
      </w:pPr>
      <w:r>
        <w:t xml:space="preserve"/>
      </w:r>
    </w:p>
    <w:p>
      <w:r>
        <w:br w:type="page"/>
      </w:r>
    </w:p>
    <w:p>
      <w:pPr>
        <w:pStyle w:val="SectionHeading"/>
      </w:pPr>
      <w:r>
        <w:t xml:space="preserve">Query 8 — Demographics × Top 5 Shows</w:t>
      </w:r>
    </w:p>
    <w:p>
      <w:pPr>
        <w:pStyle w:val="Body"/>
      </w:pPr>
      <w:r>
        <w:t xml:space="preserve">Source: fatafat.mxp_fatafat_player_engagement joined to daily_cms_data_table and mxp_age_gender_details_table_v3 | Date: April 5, 2026</w:t>
      </w:r>
    </w:p>
    <w:p>
      <w:pPr>
        <w:pStyle w:val="Body"/>
      </w:pPr>
      <w:r>
        <w:t xml:space="preserve">The demographic cross-reference query joins the top 5 shows' streamers on April 5 with the age/gender recognition table, producing a show-level demographic fingerprint for each title. This reveals whether different shows serve different audience cohorts — a critical test for persona differentiation.</w:t>
      </w:r>
    </w:p>
    <w:p>
      <w:pPr>
        <w:spacing w:after="0" w:before="80"/>
      </w:pPr>
      <w:r>
        <w:t xml:space="preserve"/>
      </w:r>
    </w:p>
    <w:p>
      <w:pPr>
        <w:spacing w:after="60" w:before="120"/>
        <w:jc w:val="center"/>
      </w:pPr>
      <w:r>
        <w:drawing>
          <wp:inline distT="0" distB="0" distL="0" distR="0">
            <wp:extent cx="5905500" cy="3714750"/>
            <wp:effectExtent t="0" r="0" b="0" l="0"/>
            <wp:docPr id="1" name="chart8_demo_shows.png" descr="chart8_demo_shows.png" title="chart8_demo_sho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714750"/>
                    </a:xfrm>
                    <a:prstGeom prst="rect">
                      <a:avLst/>
                    </a:prstGeom>
                  </pic:spPr>
                </pic:pic>
              </a:graphicData>
            </a:graphic>
          </wp:inline>
        </w:drawing>
      </w:r>
    </w:p>
    <w:p>
      <w:pPr>
        <w:pStyle w:val="Caption"/>
      </w:pPr>
      <w:r>
        <w:rPr>
          <w:i/>
          <w:iCs/>
          <w:color w:val="666666"/>
          <w:sz w:val="18"/>
          <w:szCs w:val="18"/>
        </w:rPr>
        <w:t xml:space="preserve">Figure 8.1: Audience Demographics × Top 5 Shows — Pink = Female segments | Blue = Male segments, April 5, 2026</w:t>
      </w:r>
    </w:p>
    <w:p>
      <w:pPr>
        <w:spacing w:after="0" w:before="80"/>
      </w:pPr>
      <w:r>
        <w:t xml:space="preserve"/>
      </w:r>
    </w:p>
    <w:p>
      <w:pPr>
        <w:pStyle w:val="SubHeading"/>
      </w:pPr>
      <w:r>
        <w:t xml:space="preserve">Gender Split by Show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760"/>
      </w:tblGrid>
      <w:tr>
        <w:trPr>
          <w:tblHeader/>
        </w:trPr>
        <w:tc>
          <w:tcPr>
            <w:tcW w:type="dxa" w:w="28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Show</w:t>
            </w:r>
          </w:p>
        </w:tc>
        <w:tc>
          <w:tcPr>
            <w:tcW w:type="dxa" w:w="1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Streamers</w:t>
            </w:r>
          </w:p>
        </w:tc>
        <w:tc>
          <w:tcPr>
            <w:tcW w:type="dxa" w:w="1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Female %</w:t>
            </w:r>
          </w:p>
        </w:tc>
        <w:tc>
          <w:tcPr>
            <w:tcW w:type="dxa" w:w="1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Male %</w:t>
            </w:r>
          </w:p>
        </w:tc>
        <w:tc>
          <w:tcPr>
            <w:tcW w:type="dxa" w:w="1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Dominant Cell</w:t>
            </w:r>
          </w:p>
        </w:tc>
        <w:tc>
          <w:tcPr>
            <w:tcW w:type="dxa" w:w="17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Assessment</w:t>
            </w:r>
          </w:p>
        </w:tc>
      </w:tr>
      <w:tr>
        <w:tc>
          <w:tcPr>
            <w:tcW w:type="dxa" w:w="28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Our Love Is The Ocean Of Stars</w:t>
            </w:r>
          </w:p>
        </w:tc>
        <w:tc>
          <w:tcPr>
            <w:tcW w:type="dxa" w:w="12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27,809</w:t>
            </w:r>
          </w:p>
        </w:tc>
        <w:tc>
          <w:tcPr>
            <w:tcW w:type="dxa" w:w="12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C2185B"/>
                <w:sz w:val="20"/>
                <w:szCs w:val="20"/>
              </w:rPr>
              <w:t xml:space="preserve">75.3%</w:t>
            </w:r>
          </w:p>
        </w:tc>
        <w:tc>
          <w:tcPr>
            <w:tcW w:type="dxa" w:w="12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333333"/>
                <w:sz w:val="20"/>
                <w:szCs w:val="20"/>
              </w:rPr>
              <w:t xml:space="preserve">24.7%</w:t>
            </w:r>
          </w:p>
        </w:tc>
        <w:tc>
          <w:tcPr>
            <w:tcW w:type="dxa" w:w="12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555555"/>
                <w:sz w:val="20"/>
                <w:szCs w:val="20"/>
              </w:rPr>
              <w:t xml:space="preserve">F 18–24 (45.4%)</w:t>
            </w:r>
          </w:p>
        </w:tc>
        <w:tc>
          <w:tcPr>
            <w:tcW w:type="dxa" w:w="176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555555"/>
                <w:sz w:val="20"/>
                <w:szCs w:val="20"/>
              </w:rPr>
              <w:t xml:space="preserve">Purest female-skewed show; 35.9 MPC</w:t>
            </w:r>
          </w:p>
        </w:tc>
      </w:tr>
      <w:tr>
        <w:tc>
          <w:tcPr>
            <w:tcW w:type="dxa" w:w="28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Mr. Huo, Your Wife's Back with Babies!</w:t>
            </w:r>
          </w:p>
        </w:tc>
        <w:tc>
          <w:tcPr>
            <w:tcW w:type="dxa" w:w="1200"/>
            <w:tcBorders>
              <w:top w:val="single" w:color="D0D0D0" w:sz="1"/>
              <w:left w:val="single" w:color="D0D0D0" w:sz="1"/>
              <w:bottom w:val="single" w:color="D0D0D0" w:sz="1"/>
              <w:right w:val="single" w:color="D0D0D0" w:sz="1"/>
            </w:tcBorders>
            <w:shd w:fill="FFF5F7" w:val="clear"/>
          </w:tcPr>
          <w:p>
            <w:pPr>
              <w:spacing w:after="60" w:before="60"/>
              <w:jc w:val="right"/>
            </w:pPr>
            <w:r>
              <w:rPr>
                <w:rFonts w:ascii="Arial" w:cs="Arial" w:eastAsia="Arial" w:hAnsi="Arial"/>
                <w:b w:val="false"/>
                <w:bCs w:val="false"/>
                <w:color w:val="2C3E50"/>
                <w:sz w:val="20"/>
                <w:szCs w:val="20"/>
              </w:rPr>
              <w:t xml:space="preserve">22,268</w:t>
            </w:r>
          </w:p>
        </w:tc>
        <w:tc>
          <w:tcPr>
            <w:tcW w:type="dxa" w:w="12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C2185B"/>
                <w:sz w:val="20"/>
                <w:szCs w:val="20"/>
              </w:rPr>
              <w:t xml:space="preserve">63.0%</w:t>
            </w:r>
          </w:p>
        </w:tc>
        <w:tc>
          <w:tcPr>
            <w:tcW w:type="dxa" w:w="12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333333"/>
                <w:sz w:val="20"/>
                <w:szCs w:val="20"/>
              </w:rPr>
              <w:t xml:space="preserve">37.0%</w:t>
            </w:r>
          </w:p>
        </w:tc>
        <w:tc>
          <w:tcPr>
            <w:tcW w:type="dxa" w:w="12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555555"/>
                <w:sz w:val="20"/>
                <w:szCs w:val="20"/>
              </w:rPr>
              <w:t xml:space="preserve">F 18–24 (35.9%)</w:t>
            </w:r>
          </w:p>
        </w:tc>
        <w:tc>
          <w:tcPr>
            <w:tcW w:type="dxa" w:w="176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555555"/>
                <w:sz w:val="20"/>
                <w:szCs w:val="20"/>
              </w:rPr>
              <w:t xml:space="preserve">Strong female; deep engagement 31.8 MPC</w:t>
            </w:r>
          </w:p>
        </w:tc>
      </w:tr>
      <w:tr>
        <w:tc>
          <w:tcPr>
            <w:tcW w:type="dxa" w:w="28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My Cursed Kiss</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25,225</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333333"/>
                <w:sz w:val="20"/>
                <w:szCs w:val="20"/>
              </w:rPr>
              <w:t xml:space="preserve">52.2%</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333333"/>
                <w:sz w:val="20"/>
                <w:szCs w:val="20"/>
              </w:rPr>
              <w:t xml:space="preserve">47.8%</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555555"/>
                <w:sz w:val="20"/>
                <w:szCs w:val="20"/>
              </w:rPr>
              <w:t xml:space="preserve">F 18–24 (29.8%)</w:t>
            </w:r>
          </w:p>
        </w:tc>
        <w:tc>
          <w:tcPr>
            <w:tcW w:type="dxa" w:w="17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555555"/>
                <w:sz w:val="20"/>
                <w:szCs w:val="20"/>
              </w:rPr>
              <w:t xml:space="preserve">Gender-balanced crossover title</w:t>
            </w:r>
          </w:p>
        </w:tc>
      </w:tr>
      <w:tr>
        <w:tc>
          <w:tcPr>
            <w:tcW w:type="dxa" w:w="28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His Allergic Love</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right"/>
            </w:pPr>
            <w:r>
              <w:rPr>
                <w:rFonts w:ascii="Arial" w:cs="Arial" w:eastAsia="Arial" w:hAnsi="Arial"/>
                <w:b w:val="false"/>
                <w:bCs w:val="false"/>
                <w:color w:val="2C3E50"/>
                <w:sz w:val="20"/>
                <w:szCs w:val="20"/>
              </w:rPr>
              <w:t xml:space="preserve">18,782</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333333"/>
                <w:sz w:val="20"/>
                <w:szCs w:val="20"/>
              </w:rPr>
              <w:t xml:space="preserve">52.2%</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333333"/>
                <w:sz w:val="20"/>
                <w:szCs w:val="20"/>
              </w:rPr>
              <w:t xml:space="preserve">47.8%</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555555"/>
                <w:sz w:val="20"/>
                <w:szCs w:val="20"/>
              </w:rPr>
              <w:t xml:space="preserve">F 18–24 (30.4%)</w:t>
            </w:r>
          </w:p>
        </w:tc>
        <w:tc>
          <w:tcPr>
            <w:tcW w:type="dxa" w:w="17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555555"/>
                <w:sz w:val="20"/>
                <w:szCs w:val="20"/>
              </w:rPr>
              <w:t xml:space="preserve">Gender-balanced crossover title</w:t>
            </w:r>
          </w:p>
        </w:tc>
      </w:tr>
      <w:tr>
        <w:tc>
          <w:tcPr>
            <w:tcW w:type="dxa" w:w="2800"/>
            <w:tcBorders>
              <w:top w:val="single" w:color="D0D0D0" w:sz="1"/>
              <w:left w:val="single" w:color="D0D0D0" w:sz="1"/>
              <w:bottom w:val="single" w:color="D0D0D0" w:sz="1"/>
              <w:right w:val="single" w:color="D0D0D0" w:sz="1"/>
            </w:tcBorders>
            <w:shd w:fill="EEF4FF" w:val="clear"/>
          </w:tcPr>
          <w:p>
            <w:pPr>
              <w:spacing w:after="60" w:before="60"/>
              <w:jc w:val="left"/>
            </w:pPr>
            <w:r>
              <w:rPr>
                <w:rFonts w:ascii="Arial" w:cs="Arial" w:eastAsia="Arial" w:hAnsi="Arial"/>
                <w:b w:val="false"/>
                <w:bCs w:val="false"/>
                <w:color w:val="2C3E50"/>
                <w:sz w:val="20"/>
                <w:szCs w:val="20"/>
              </w:rPr>
              <w:t xml:space="preserve">Why Do You Love Me?</w:t>
            </w:r>
          </w:p>
        </w:tc>
        <w:tc>
          <w:tcPr>
            <w:tcW w:type="dxa" w:w="1200"/>
            <w:tcBorders>
              <w:top w:val="single" w:color="D0D0D0" w:sz="1"/>
              <w:left w:val="single" w:color="D0D0D0" w:sz="1"/>
              <w:bottom w:val="single" w:color="D0D0D0" w:sz="1"/>
              <w:right w:val="single" w:color="D0D0D0" w:sz="1"/>
            </w:tcBorders>
            <w:shd w:fill="EEF4FF" w:val="clear"/>
          </w:tcPr>
          <w:p>
            <w:pPr>
              <w:spacing w:after="60" w:before="60"/>
              <w:jc w:val="right"/>
            </w:pPr>
            <w:r>
              <w:rPr>
                <w:rFonts w:ascii="Arial" w:cs="Arial" w:eastAsia="Arial" w:hAnsi="Arial"/>
                <w:b w:val="false"/>
                <w:bCs w:val="false"/>
                <w:color w:val="2C3E50"/>
                <w:sz w:val="20"/>
                <w:szCs w:val="20"/>
              </w:rPr>
              <w:t xml:space="preserve">42,542</w:t>
            </w:r>
          </w:p>
        </w:tc>
        <w:tc>
          <w:tcPr>
            <w:tcW w:type="dxa" w:w="1200"/>
            <w:tcBorders>
              <w:top w:val="single" w:color="D0D0D0" w:sz="1"/>
              <w:left w:val="single" w:color="D0D0D0" w:sz="1"/>
              <w:bottom w:val="single" w:color="D0D0D0" w:sz="1"/>
              <w:right w:val="single" w:color="D0D0D0" w:sz="1"/>
            </w:tcBorders>
            <w:shd w:fill="EEF4FF" w:val="clear"/>
          </w:tcPr>
          <w:p>
            <w:pPr>
              <w:spacing w:after="60" w:before="60"/>
              <w:jc w:val="center"/>
            </w:pPr>
            <w:r>
              <w:rPr>
                <w:rFonts w:ascii="Arial" w:cs="Arial" w:eastAsia="Arial" w:hAnsi="Arial"/>
                <w:b w:val="false"/>
                <w:bCs w:val="false"/>
                <w:color w:val="333333"/>
                <w:sz w:val="20"/>
                <w:szCs w:val="20"/>
              </w:rPr>
              <w:t xml:space="preserve">49.2%</w:t>
            </w:r>
          </w:p>
        </w:tc>
        <w:tc>
          <w:tcPr>
            <w:tcW w:type="dxa" w:w="1200"/>
            <w:tcBorders>
              <w:top w:val="single" w:color="D0D0D0" w:sz="1"/>
              <w:left w:val="single" w:color="D0D0D0" w:sz="1"/>
              <w:bottom w:val="single" w:color="D0D0D0" w:sz="1"/>
              <w:right w:val="single" w:color="D0D0D0" w:sz="1"/>
            </w:tcBorders>
            <w:shd w:fill="EEF4FF" w:val="clear"/>
          </w:tcPr>
          <w:p>
            <w:pPr>
              <w:spacing w:after="60" w:before="60"/>
              <w:jc w:val="center"/>
            </w:pPr>
            <w:r>
              <w:rPr>
                <w:rFonts w:ascii="Arial" w:cs="Arial" w:eastAsia="Arial" w:hAnsi="Arial"/>
                <w:b/>
                <w:bCs/>
                <w:color w:val="1565C0"/>
                <w:sz w:val="20"/>
                <w:szCs w:val="20"/>
              </w:rPr>
              <w:t xml:space="preserve">50.8%</w:t>
            </w:r>
          </w:p>
        </w:tc>
        <w:tc>
          <w:tcPr>
            <w:tcW w:type="dxa" w:w="1200"/>
            <w:tcBorders>
              <w:top w:val="single" w:color="D0D0D0" w:sz="1"/>
              <w:left w:val="single" w:color="D0D0D0" w:sz="1"/>
              <w:bottom w:val="single" w:color="D0D0D0" w:sz="1"/>
              <w:right w:val="single" w:color="D0D0D0" w:sz="1"/>
            </w:tcBorders>
            <w:shd w:fill="EEF4FF" w:val="clear"/>
          </w:tcPr>
          <w:p>
            <w:pPr>
              <w:spacing w:after="60" w:before="60"/>
              <w:jc w:val="left"/>
            </w:pPr>
            <w:r>
              <w:rPr>
                <w:rFonts w:ascii="Arial" w:cs="Arial" w:eastAsia="Arial" w:hAnsi="Arial"/>
                <w:b w:val="false"/>
                <w:bCs w:val="false"/>
                <w:color w:val="555555"/>
                <w:sz w:val="20"/>
                <w:szCs w:val="20"/>
              </w:rPr>
              <w:t xml:space="preserve">F18-24 ≈ M25-34</w:t>
            </w:r>
          </w:p>
        </w:tc>
        <w:tc>
          <w:tcPr>
            <w:tcW w:type="dxa" w:w="1760"/>
            <w:tcBorders>
              <w:top w:val="single" w:color="D0D0D0" w:sz="1"/>
              <w:left w:val="single" w:color="D0D0D0" w:sz="1"/>
              <w:bottom w:val="single" w:color="D0D0D0" w:sz="1"/>
              <w:right w:val="single" w:color="D0D0D0" w:sz="1"/>
            </w:tcBorders>
            <w:shd w:fill="EEF4FF" w:val="clear"/>
          </w:tcPr>
          <w:p>
            <w:pPr>
              <w:spacing w:after="60" w:before="60"/>
              <w:jc w:val="left"/>
            </w:pPr>
            <w:r>
              <w:rPr>
                <w:rFonts w:ascii="Arial" w:cs="Arial" w:eastAsia="Arial" w:hAnsi="Arial"/>
                <w:b w:val="false"/>
                <w:bCs w:val="false"/>
                <w:color w:val="555555"/>
                <w:sz w:val="20"/>
                <w:szCs w:val="20"/>
              </w:rPr>
              <w:t xml:space="preserve">Most gender-equal; broadest reach</w:t>
            </w:r>
          </w:p>
        </w:tc>
      </w:tr>
    </w:tbl>
    <w:p>
      <w:pPr>
        <w:spacing w:after="0" w:before="100"/>
      </w:pPr>
      <w:r>
        <w:t xml:space="preserve"/>
      </w:r>
    </w:p>
    <w:p>
      <w:pPr>
        <w:pStyle w:val="SubHeading"/>
      </w:pPr>
      <w:r>
        <w:t xml:space="preserve">Age Group Distribution by Show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200"/>
        <w:gridCol w:w="560"/>
      </w:tblGrid>
      <w:tr>
        <w:trPr>
          <w:tblHeader/>
        </w:trPr>
        <w:tc>
          <w:tcPr>
            <w:tcW w:type="dxa" w:w="28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Show</w:t>
            </w:r>
          </w:p>
        </w:tc>
        <w:tc>
          <w:tcPr>
            <w:tcW w:type="dxa" w:w="1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18–24 %</w:t>
            </w:r>
          </w:p>
        </w:tc>
        <w:tc>
          <w:tcPr>
            <w:tcW w:type="dxa" w:w="1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25–34 %</w:t>
            </w:r>
          </w:p>
        </w:tc>
        <w:tc>
          <w:tcPr>
            <w:tcW w:type="dxa" w:w="1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35–44 %</w:t>
            </w:r>
          </w:p>
        </w:tc>
        <w:tc>
          <w:tcPr>
            <w:tcW w:type="dxa" w:w="1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45–54 %</w:t>
            </w:r>
          </w:p>
        </w:tc>
        <w:tc>
          <w:tcPr>
            <w:tcW w:type="dxa" w:w="1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55–64 %</w:t>
            </w:r>
          </w:p>
        </w:tc>
        <w:tc>
          <w:tcPr>
            <w:tcW w:type="dxa" w:w="5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
            </w:r>
          </w:p>
        </w:tc>
      </w:tr>
      <w:tr>
        <w:tc>
          <w:tcPr>
            <w:tcW w:type="dxa" w:w="28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Our Love Is The Ocean Of Stars</w:t>
            </w:r>
          </w:p>
        </w:tc>
        <w:tc>
          <w:tcPr>
            <w:tcW w:type="dxa" w:w="1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bCs/>
                <w:color w:val="C2185B"/>
                <w:sz w:val="20"/>
                <w:szCs w:val="20"/>
              </w:rPr>
              <w:t xml:space="preserve">55.2%</w:t>
            </w:r>
          </w:p>
        </w:tc>
        <w:tc>
          <w:tcPr>
            <w:tcW w:type="dxa" w:w="1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29.7%</w:t>
            </w:r>
          </w:p>
        </w:tc>
        <w:tc>
          <w:tcPr>
            <w:tcW w:type="dxa" w:w="1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9.4%</w:t>
            </w:r>
          </w:p>
        </w:tc>
        <w:tc>
          <w:tcPr>
            <w:tcW w:type="dxa" w:w="1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5.1%</w:t>
            </w:r>
          </w:p>
        </w:tc>
        <w:tc>
          <w:tcPr>
            <w:tcW w:type="dxa" w:w="1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0.6%</w:t>
            </w:r>
          </w:p>
        </w:tc>
        <w:tc>
          <w:tcPr>
            <w:tcW w:type="dxa" w:w="5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
            </w:r>
          </w:p>
        </w:tc>
      </w:tr>
      <w:tr>
        <w:tc>
          <w:tcPr>
            <w:tcW w:type="dxa" w:w="28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Mr. Huo, Your Wife's Back with Babies!</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333333"/>
                <w:sz w:val="20"/>
                <w:szCs w:val="20"/>
              </w:rPr>
              <w:t xml:space="preserve">49.2%</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33.3%</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11.2%</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5.7%</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0.6%</w:t>
            </w:r>
          </w:p>
        </w:tc>
        <w:tc>
          <w:tcPr>
            <w:tcW w:type="dxa" w:w="5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
            </w:r>
          </w:p>
        </w:tc>
      </w:tr>
      <w:tr>
        <w:tc>
          <w:tcPr>
            <w:tcW w:type="dxa" w:w="28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My Cursed Kiss</w:t>
            </w:r>
          </w:p>
        </w:tc>
        <w:tc>
          <w:tcPr>
            <w:tcW w:type="dxa" w:w="1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333333"/>
                <w:sz w:val="20"/>
                <w:szCs w:val="20"/>
              </w:rPr>
              <w:t xml:space="preserve">43.5%</w:t>
            </w:r>
          </w:p>
        </w:tc>
        <w:tc>
          <w:tcPr>
            <w:tcW w:type="dxa" w:w="1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34.9%</w:t>
            </w:r>
          </w:p>
        </w:tc>
        <w:tc>
          <w:tcPr>
            <w:tcW w:type="dxa" w:w="1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13.2%</w:t>
            </w:r>
          </w:p>
        </w:tc>
        <w:tc>
          <w:tcPr>
            <w:tcW w:type="dxa" w:w="1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7.8%</w:t>
            </w:r>
          </w:p>
        </w:tc>
        <w:tc>
          <w:tcPr>
            <w:tcW w:type="dxa" w:w="1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0.5%</w:t>
            </w:r>
          </w:p>
        </w:tc>
        <w:tc>
          <w:tcPr>
            <w:tcW w:type="dxa" w:w="5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
            </w:r>
          </w:p>
        </w:tc>
      </w:tr>
      <w:tr>
        <w:tc>
          <w:tcPr>
            <w:tcW w:type="dxa" w:w="28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His Allergic Love</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333333"/>
                <w:sz w:val="20"/>
                <w:szCs w:val="20"/>
              </w:rPr>
              <w:t xml:space="preserve">43.7%</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34.5%</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13.5%</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7.8%</w:t>
            </w:r>
          </w:p>
        </w:tc>
        <w:tc>
          <w:tcPr>
            <w:tcW w:type="dxa" w:w="1200"/>
            <w:tcBorders>
              <w:top w:val="single" w:color="D0D0D0" w:sz="1"/>
              <w:left w:val="single" w:color="D0D0D0" w:sz="1"/>
              <w:bottom w:val="single" w:color="D0D0D0" w:sz="1"/>
              <w:right w:val="single" w:color="D0D0D0" w:sz="1"/>
            </w:tcBorders>
            <w:shd w:fill="FFFFFF" w:val="clear"/>
          </w:tcPr>
          <w:p>
            <w:pPr>
              <w:spacing w:after="60" w:before="60"/>
              <w:jc w:val="center"/>
            </w:pPr>
            <w:r>
              <w:rPr>
                <w:rFonts w:ascii="Arial" w:cs="Arial" w:eastAsia="Arial" w:hAnsi="Arial"/>
                <w:b w:val="false"/>
                <w:bCs w:val="false"/>
                <w:color w:val="2C3E50"/>
                <w:sz w:val="20"/>
                <w:szCs w:val="20"/>
              </w:rPr>
              <w:t xml:space="preserve">0.5%</w:t>
            </w:r>
          </w:p>
        </w:tc>
        <w:tc>
          <w:tcPr>
            <w:tcW w:type="dxa" w:w="5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
            </w:r>
          </w:p>
        </w:tc>
      </w:tr>
      <w:tr>
        <w:tc>
          <w:tcPr>
            <w:tcW w:type="dxa" w:w="28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Why Do You Love Me?</w:t>
            </w:r>
          </w:p>
        </w:tc>
        <w:tc>
          <w:tcPr>
            <w:tcW w:type="dxa" w:w="1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333333"/>
                <w:sz w:val="20"/>
                <w:szCs w:val="20"/>
              </w:rPr>
              <w:t xml:space="preserve">37.8%</w:t>
            </w:r>
          </w:p>
        </w:tc>
        <w:tc>
          <w:tcPr>
            <w:tcW w:type="dxa" w:w="1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37.8%</w:t>
            </w:r>
          </w:p>
        </w:tc>
        <w:tc>
          <w:tcPr>
            <w:tcW w:type="dxa" w:w="1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16.4%</w:t>
            </w:r>
          </w:p>
        </w:tc>
        <w:tc>
          <w:tcPr>
            <w:tcW w:type="dxa" w:w="1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7.1%</w:t>
            </w:r>
          </w:p>
        </w:tc>
        <w:tc>
          <w:tcPr>
            <w:tcW w:type="dxa" w:w="1200"/>
            <w:tcBorders>
              <w:top w:val="single" w:color="D0D0D0" w:sz="1"/>
              <w:left w:val="single" w:color="D0D0D0" w:sz="1"/>
              <w:bottom w:val="single" w:color="D0D0D0" w:sz="1"/>
              <w:right w:val="single" w:color="D0D0D0" w:sz="1"/>
            </w:tcBorders>
            <w:shd w:fill="F8F8F8" w:val="clear"/>
          </w:tcPr>
          <w:p>
            <w:pPr>
              <w:spacing w:after="60" w:before="60"/>
              <w:jc w:val="center"/>
            </w:pPr>
            <w:r>
              <w:rPr>
                <w:rFonts w:ascii="Arial" w:cs="Arial" w:eastAsia="Arial" w:hAnsi="Arial"/>
                <w:b w:val="false"/>
                <w:bCs w:val="false"/>
                <w:color w:val="2C3E50"/>
                <w:sz w:val="20"/>
                <w:szCs w:val="20"/>
              </w:rPr>
              <w:t xml:space="preserve">0.9%</w:t>
            </w:r>
          </w:p>
        </w:tc>
        <w:tc>
          <w:tcPr>
            <w:tcW w:type="dxa" w:w="5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
            </w:r>
          </w:p>
        </w:tc>
      </w:tr>
    </w:tbl>
    <w:p>
      <w:pPr>
        <w:spacing w:after="0" w:before="120"/>
      </w:pPr>
      <w:r>
        <w:t xml:space="preserve"/>
      </w:r>
    </w:p>
    <w:p>
      <w:pPr>
        <w:pStyle w:val="SubHeading"/>
      </w:pPr>
      <w:r>
        <w:t xml:space="preserve">Key Findings</w:t>
      </w:r>
    </w:p>
    <w:p>
      <w:pPr>
        <w:pStyle w:val="ListParagraph"/>
        <w:numPr>
          <w:ilvl w:val="0"/>
          <w:numId w:val="2"/>
        </w:numPr>
      </w:pPr>
      <w:r>
        <w:rPr>
          <w:rFonts w:ascii="Arial" w:cs="Arial" w:eastAsia="Arial" w:hAnsi="Arial"/>
          <w:color w:val="2C3E50"/>
          <w:sz w:val="21"/>
          <w:szCs w:val="21"/>
        </w:rPr>
        <w:t xml:space="preserve">"Our Love Is The Ocean Of Stars" is the most demographically concentrated show on the platform: 75.3% female, with F18-24 alone making up 45.4% of its audience. This is the clearest "Young Female Romance Binger" persona anchor in the data — it also has the highest MPC at 35.9 minutes.</w:t>
      </w:r>
    </w:p>
    <w:p>
      <w:pPr>
        <w:pStyle w:val="ListParagraph"/>
        <w:numPr>
          <w:ilvl w:val="0"/>
          <w:numId w:val="2"/>
        </w:numPr>
      </w:pPr>
      <w:r>
        <w:rPr>
          <w:rFonts w:ascii="Arial" w:cs="Arial" w:eastAsia="Arial" w:hAnsi="Arial"/>
          <w:color w:val="2C3E50"/>
          <w:sz w:val="21"/>
          <w:szCs w:val="21"/>
        </w:rPr>
        <w:t xml:space="preserve">"Mr. Huo, Your Wife's Back with Babies!" follows a similar pattern (63% female, 35.9% F18-24) with 31.8 MPC — confirming that the CEO/marriage-drama genre consistently attracts and deeply engages the Female 18-24 cohort.</w:t>
      </w:r>
    </w:p>
    <w:p>
      <w:pPr>
        <w:pStyle w:val="ListParagraph"/>
        <w:numPr>
          <w:ilvl w:val="0"/>
          <w:numId w:val="2"/>
        </w:numPr>
      </w:pPr>
      <w:r>
        <w:rPr>
          <w:rFonts w:ascii="Arial" w:cs="Arial" w:eastAsia="Arial" w:hAnsi="Arial"/>
          <w:color w:val="2C3E50"/>
          <w:sz w:val="21"/>
          <w:szCs w:val="21"/>
        </w:rPr>
        <w:t xml:space="preserve">"Why Do You Love Me?" is the platform's most gender-balanced show at 49.2% female / 50.8% male, with M25-34 (24.9%) nearly matching F18-24 (25.3%). This show serves as the broadest-appeal entry point and reaches both of the platform's largest demographic cohorts simultaneously.</w:t>
      </w:r>
    </w:p>
    <w:p>
      <w:pPr>
        <w:pStyle w:val="ListParagraph"/>
        <w:numPr>
          <w:ilvl w:val="0"/>
          <w:numId w:val="2"/>
        </w:numPr>
      </w:pPr>
      <w:r>
        <w:rPr>
          <w:rFonts w:ascii="Arial" w:cs="Arial" w:eastAsia="Arial" w:hAnsi="Arial"/>
          <w:color w:val="2C3E50"/>
          <w:sz w:val="21"/>
          <w:szCs w:val="21"/>
        </w:rPr>
        <w:t xml:space="preserve">"My Cursed Kiss" and "His Allergic Love" are near-identical in demographic profile (both 52.2% female) — confirming their classification as "crossover" titles that appeal across gender lines and may be particularly useful for the male 25-34 persona who engages with romance content.</w:t>
      </w:r>
    </w:p>
    <w:p>
      <w:pPr>
        <w:pStyle w:val="ListParagraph"/>
        <w:numPr>
          <w:ilvl w:val="0"/>
          <w:numId w:val="2"/>
        </w:numPr>
      </w:pPr>
      <w:r>
        <w:rPr>
          <w:rFonts w:ascii="Arial" w:cs="Arial" w:eastAsia="Arial" w:hAnsi="Arial"/>
          <w:color w:val="2C3E50"/>
          <w:sz w:val="21"/>
          <w:szCs w:val="21"/>
        </w:rPr>
        <w:t xml:space="preserve">The 18-24 age group concentration is highest in Ocean Of Stars (55.2%) and lowest in Why Do You Love Me? (37.8%), indicating that the highest-depth shows skew younger. Mature audiences (35+) are proportionally better represented in the highest-reach shows.</w:t>
      </w:r>
    </w:p>
    <w:p>
      <w:pPr>
        <w:spacing w:after="0" w:before="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14"/>
              <w:bottom w:val="single" w:color="DDDDDD" w:sz="2"/>
              <w:right w:val="single" w:color="DDDDDD" w:sz="1"/>
            </w:tcBorders>
            <w:shd w:fill="F3E5F5" w:val="clear"/>
          </w:tcPr>
          <w:p>
            <w:pPr>
              <w:spacing w:after="60" w:before="100"/>
            </w:pPr>
            <w:r>
              <w:rPr>
                <w:rFonts w:ascii="Arial" w:cs="Arial" w:eastAsia="Arial" w:hAnsi="Arial"/>
                <w:b/>
                <w:bCs/>
                <w:caps/>
                <w:color w:val="7B1FA2"/>
                <w:sz w:val="19"/>
                <w:szCs w:val="19"/>
              </w:rPr>
              <w:t xml:space="preserve">SHOW-AS-PERSONA-PROXY</w:t>
            </w:r>
          </w:p>
          <w:p>
            <w:pPr>
              <w:spacing w:after="100" w:before="40"/>
            </w:pPr>
            <w:r>
              <w:rPr>
                <w:rFonts w:ascii="Arial" w:cs="Arial" w:eastAsia="Arial" w:hAnsi="Arial"/>
                <w:color w:val="333333"/>
                <w:sz w:val="21"/>
                <w:szCs w:val="21"/>
              </w:rPr>
              <w:t xml:space="preserve">The distinct demographic fingerprints across these 5 shows confirm that content preferences are a valid proxy for demographic-behavioral persona segmentation. A user whose top show is "Our Love Is The Ocean Of Stars" is highly likely to be F18-24 (75.3% probability); a user whose top show is "Why Do You Love Me?" could be any demographic. This show-based inference can serve as a lightweight persona classifier in Phase 2.</w:t>
            </w:r>
          </w:p>
        </w:tc>
      </w:tr>
    </w:tbl>
    <w:p>
      <w:pPr>
        <w:spacing w:after="0" w:before="200"/>
      </w:pPr>
      <w:r>
        <w:t xml:space="preserve"/>
      </w:r>
    </w:p>
    <w:p>
      <w:r>
        <w:br w:type="page"/>
      </w:r>
    </w:p>
    <w:p>
      <w:pPr>
        <w:pStyle w:val="SectionHeading"/>
      </w:pPr>
      <w:r>
        <w:t xml:space="preserve">Consolidated Persona Hypotheses</w:t>
      </w:r>
    </w:p>
    <w:p>
      <w:pPr>
        <w:pStyle w:val="Body"/>
      </w:pPr>
      <w:r>
        <w:t xml:space="preserve">Combining all eight data layers — streaming baseline, demographics, interest segments, content preferences, channel distribution, retention curves, multi-show consumption, and demographic × show cross-reference — six preliminary personas emerge from Phase 1.</w:t>
      </w:r>
    </w:p>
    <w:p>
      <w:pPr>
        <w:pStyle w:val="Body"/>
      </w:pPr>
      <w:r>
        <w:t xml:space="preserve">These hypotheses are data-anchored but not yet statistically validated through cluster analysis. Validation and formalization occur in Phase 2 (Persona Construction). Each persona hypothesis below carries a behavioral fingerprint, demographic anchor, content signal, channel signal, and Grow/Nourish/Sustain strategic role.</w:t>
      </w:r>
    </w:p>
    <w:p>
      <w:pPr>
        <w:spacing w:after="0" w:before="1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8"/>
              <w:left w:val="single" w:color="C2185B" w:sz="20"/>
              <w:bottom w:val="single" w:color="DDDDDD" w:sz="2"/>
              <w:right w:val="none"/>
            </w:tcBorders>
            <w:shd w:fill="FAFAFA" w:val="clear"/>
          </w:tcPr>
          <w:p>
            <w:pPr>
              <w:spacing w:after="60" w:before="100"/>
            </w:pPr>
            <w:r>
              <w:rPr>
                <w:rFonts w:ascii="Arial" w:cs="Arial" w:eastAsia="Arial" w:hAnsi="Arial"/>
                <w:b/>
                <w:bCs/>
                <w:color w:val="C2185B"/>
                <w:sz w:val="22"/>
                <w:szCs w:val="22"/>
              </w:rPr>
              <w:t xml:space="preserve">P1 - </w:t>
            </w:r>
            <w:r>
              <w:rPr>
                <w:rFonts w:ascii="Arial" w:cs="Arial" w:eastAsia="Arial" w:hAnsi="Arial"/>
                <w:b/>
                <w:bCs/>
                <w:color w:val="1A1A2E"/>
                <w:sz w:val="26"/>
                <w:szCs w:val="26"/>
              </w:rPr>
              <w:t xml:space="preserve">Young Female Romance Binger</w:t>
            </w:r>
            <w:r>
              <w:rPr>
                <w:rFonts w:ascii="Arial" w:cs="Arial" w:eastAsia="Arial" w:hAnsi="Arial"/>
                <w:b/>
                <w:bCs/>
                <w:color w:val="C2185B"/>
                <w:sz w:val="20"/>
                <w:szCs w:val="20"/>
              </w:rPr>
              <w:t xml:space="preserve">    [GROW]</w:t>
            </w:r>
          </w:p>
          <w:p>
            <w:pPr>
              <w:spacing w:after="40" w:before="40"/>
            </w:pPr>
            <w:r>
              <w:rPr>
                <w:rFonts w:ascii="Arial" w:cs="Arial" w:eastAsia="Arial" w:hAnsi="Arial"/>
                <w:b/>
                <w:bCs/>
                <w:color w:val="555555"/>
                <w:sz w:val="20"/>
                <w:szCs w:val="20"/>
              </w:rPr>
              <w:t xml:space="preserve">Size: </w:t>
            </w:r>
            <w:r>
              <w:rPr>
                <w:rFonts w:ascii="Arial" w:cs="Arial" w:eastAsia="Arial" w:hAnsi="Arial"/>
                <w:color w:val="333333"/>
                <w:sz w:val="20"/>
                <w:szCs w:val="20"/>
              </w:rPr>
              <w:t xml:space="preserve">~108K (28.6%)  |  </w:t>
            </w:r>
            <w:r>
              <w:rPr>
                <w:rFonts w:ascii="Arial" w:cs="Arial" w:eastAsia="Arial" w:hAnsi="Arial"/>
                <w:b/>
                <w:bCs/>
                <w:color w:val="555555"/>
                <w:sz w:val="20"/>
                <w:szCs w:val="20"/>
              </w:rPr>
              <w:t xml:space="preserve">Demo: </w:t>
            </w:r>
            <w:r>
              <w:rPr>
                <w:rFonts w:ascii="Arial" w:cs="Arial" w:eastAsia="Arial" w:hAnsi="Arial"/>
                <w:color w:val="333333"/>
                <w:sz w:val="20"/>
                <w:szCs w:val="20"/>
              </w:rPr>
              <w:t xml:space="preserve">Female 18-24  |  </w:t>
            </w:r>
            <w:r>
              <w:rPr>
                <w:rFonts w:ascii="Arial" w:cs="Arial" w:eastAsia="Arial" w:hAnsi="Arial"/>
                <w:b/>
                <w:bCs/>
                <w:color w:val="555555"/>
                <w:sz w:val="20"/>
                <w:szCs w:val="20"/>
              </w:rPr>
              <w:t xml:space="preserve">MPC: </w:t>
            </w:r>
            <w:r>
              <w:rPr>
                <w:rFonts w:ascii="Arial" w:cs="Arial" w:eastAsia="Arial" w:hAnsi="Arial"/>
                <w:color w:val="333333"/>
                <w:sz w:val="20"/>
                <w:szCs w:val="20"/>
              </w:rPr>
              <w:t xml:space="preserve">40-115 min</w:t>
            </w:r>
          </w:p>
          <w:p>
            <w:pPr>
              <w:spacing w:after="30" w:before="30"/>
            </w:pPr>
            <w:r>
              <w:rPr>
                <w:rFonts w:ascii="Arial" w:cs="Arial" w:eastAsia="Arial" w:hAnsi="Arial"/>
                <w:b/>
                <w:bCs/>
                <w:color w:val="555555"/>
                <w:sz w:val="20"/>
                <w:szCs w:val="20"/>
              </w:rPr>
              <w:t xml:space="preserve">Content Signal: </w:t>
            </w:r>
            <w:r>
              <w:rPr>
                <w:rFonts w:ascii="Arial" w:cs="Arial" w:eastAsia="Arial" w:hAnsi="Arial"/>
                <w:color w:val="333333"/>
                <w:sz w:val="20"/>
                <w:szCs w:val="20"/>
              </w:rPr>
              <w:t xml:space="preserve">Our Love Is The Ocean Of Stars, Mr. Huo — CEO/romance dramas; 30+ MPC shows</w:t>
            </w:r>
          </w:p>
          <w:p>
            <w:pPr>
              <w:spacing w:after="30" w:before="30"/>
            </w:pPr>
            <w:r>
              <w:rPr>
                <w:rFonts w:ascii="Arial" w:cs="Arial" w:eastAsia="Arial" w:hAnsi="Arial"/>
                <w:b/>
                <w:bCs/>
                <w:color w:val="555555"/>
                <w:sz w:val="20"/>
                <w:szCs w:val="20"/>
              </w:rPr>
              <w:t xml:space="preserve">Channel: </w:t>
            </w:r>
            <w:r>
              <w:rPr>
                <w:rFonts w:ascii="Arial" w:cs="Arial" w:eastAsia="Arial" w:hAnsi="Arial"/>
                <w:color w:val="333333"/>
                <w:sz w:val="20"/>
                <w:szCs w:val="20"/>
              </w:rPr>
              <w:t xml:space="preserve">Organic (high loyalty)  |  Shows/Day: 2-5 shows/day</w:t>
            </w:r>
          </w:p>
          <w:p>
            <w:pPr>
              <w:spacing w:after="100" w:before="30"/>
            </w:pPr>
            <w:r>
              <w:rPr>
                <w:rFonts w:ascii="Arial" w:cs="Arial" w:eastAsia="Arial" w:hAnsi="Arial"/>
                <w:b/>
                <w:bCs/>
                <w:i/>
                <w:iCs/>
                <w:color w:val="C2185B"/>
                <w:sz w:val="20"/>
                <w:szCs w:val="20"/>
              </w:rPr>
              <w:t xml:space="preserve">Note: </w:t>
            </w:r>
            <w:r>
              <w:rPr>
                <w:rFonts w:ascii="Arial" w:cs="Arial" w:eastAsia="Arial" w:hAnsi="Arial"/>
                <w:i/>
                <w:iCs/>
                <w:color w:val="555555"/>
                <w:sz w:val="20"/>
                <w:szCs w:val="20"/>
              </w:rPr>
              <w:t xml:space="preserve">Largest and deepest segment. F18-24 makes up 45.4% of Ocean Of Stars audience. The platform's primary commercial asset.</w:t>
            </w:r>
          </w:p>
        </w:tc>
      </w:tr>
    </w:tbl>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8"/>
              <w:left w:val="single" w:color="C2185B" w:sz="20"/>
              <w:bottom w:val="single" w:color="DDDDDD" w:sz="2"/>
              <w:right w:val="none"/>
            </w:tcBorders>
            <w:shd w:fill="FAFAFA" w:val="clear"/>
          </w:tcPr>
          <w:p>
            <w:pPr>
              <w:spacing w:after="60" w:before="100"/>
            </w:pPr>
            <w:r>
              <w:rPr>
                <w:rFonts w:ascii="Arial" w:cs="Arial" w:eastAsia="Arial" w:hAnsi="Arial"/>
                <w:b/>
                <w:bCs/>
                <w:color w:val="C2185B"/>
                <w:sz w:val="22"/>
                <w:szCs w:val="22"/>
              </w:rPr>
              <w:t xml:space="preserve">P2 - </w:t>
            </w:r>
            <w:r>
              <w:rPr>
                <w:rFonts w:ascii="Arial" w:cs="Arial" w:eastAsia="Arial" w:hAnsi="Arial"/>
                <w:b/>
                <w:bCs/>
                <w:color w:val="1A1A2E"/>
                <w:sz w:val="26"/>
                <w:szCs w:val="26"/>
              </w:rPr>
              <w:t xml:space="preserve">Male Crossover Viewer</w:t>
            </w:r>
            <w:r>
              <w:rPr>
                <w:rFonts w:ascii="Arial" w:cs="Arial" w:eastAsia="Arial" w:hAnsi="Arial"/>
                <w:b/>
                <w:bCs/>
                <w:color w:val="C2185B"/>
                <w:sz w:val="20"/>
                <w:szCs w:val="20"/>
              </w:rPr>
              <w:t xml:space="preserve">    [GROW]</w:t>
            </w:r>
          </w:p>
          <w:p>
            <w:pPr>
              <w:spacing w:after="40" w:before="40"/>
            </w:pPr>
            <w:r>
              <w:rPr>
                <w:rFonts w:ascii="Arial" w:cs="Arial" w:eastAsia="Arial" w:hAnsi="Arial"/>
                <w:b/>
                <w:bCs/>
                <w:color w:val="555555"/>
                <w:sz w:val="20"/>
                <w:szCs w:val="20"/>
              </w:rPr>
              <w:t xml:space="preserve">Size: </w:t>
            </w:r>
            <w:r>
              <w:rPr>
                <w:rFonts w:ascii="Arial" w:cs="Arial" w:eastAsia="Arial" w:hAnsi="Arial"/>
                <w:color w:val="333333"/>
                <w:sz w:val="20"/>
                <w:szCs w:val="20"/>
              </w:rPr>
              <w:t xml:space="preserve">~83K (21.9%)  |  </w:t>
            </w:r>
            <w:r>
              <w:rPr>
                <w:rFonts w:ascii="Arial" w:cs="Arial" w:eastAsia="Arial" w:hAnsi="Arial"/>
                <w:b/>
                <w:bCs/>
                <w:color w:val="555555"/>
                <w:sz w:val="20"/>
                <w:szCs w:val="20"/>
              </w:rPr>
              <w:t xml:space="preserve">Demo: </w:t>
            </w:r>
            <w:r>
              <w:rPr>
                <w:rFonts w:ascii="Arial" w:cs="Arial" w:eastAsia="Arial" w:hAnsi="Arial"/>
                <w:color w:val="333333"/>
                <w:sz w:val="20"/>
                <w:szCs w:val="20"/>
              </w:rPr>
              <w:t xml:space="preserve">Male 25-34  |  </w:t>
            </w:r>
            <w:r>
              <w:rPr>
                <w:rFonts w:ascii="Arial" w:cs="Arial" w:eastAsia="Arial" w:hAnsi="Arial"/>
                <w:b/>
                <w:bCs/>
                <w:color w:val="555555"/>
                <w:sz w:val="20"/>
                <w:szCs w:val="20"/>
              </w:rPr>
              <w:t xml:space="preserve">MPC: </w:t>
            </w:r>
            <w:r>
              <w:rPr>
                <w:rFonts w:ascii="Arial" w:cs="Arial" w:eastAsia="Arial" w:hAnsi="Arial"/>
                <w:color w:val="333333"/>
                <w:sz w:val="20"/>
                <w:szCs w:val="20"/>
              </w:rPr>
              <w:t xml:space="preserve">20-50 min</w:t>
            </w:r>
          </w:p>
          <w:p>
            <w:pPr>
              <w:spacing w:after="30" w:before="30"/>
            </w:pPr>
            <w:r>
              <w:rPr>
                <w:rFonts w:ascii="Arial" w:cs="Arial" w:eastAsia="Arial" w:hAnsi="Arial"/>
                <w:b/>
                <w:bCs/>
                <w:color w:val="555555"/>
                <w:sz w:val="20"/>
                <w:szCs w:val="20"/>
              </w:rPr>
              <w:t xml:space="preserve">Content Signal: </w:t>
            </w:r>
            <w:r>
              <w:rPr>
                <w:rFonts w:ascii="Arial" w:cs="Arial" w:eastAsia="Arial" w:hAnsi="Arial"/>
                <w:color w:val="333333"/>
                <w:sz w:val="20"/>
                <w:szCs w:val="20"/>
              </w:rPr>
              <w:t xml:space="preserve">Why Do You Love Me?, My Cursed Kiss — balanced/crossover titles; moderate MPC</w:t>
            </w:r>
          </w:p>
          <w:p>
            <w:pPr>
              <w:spacing w:after="30" w:before="30"/>
            </w:pPr>
            <w:r>
              <w:rPr>
                <w:rFonts w:ascii="Arial" w:cs="Arial" w:eastAsia="Arial" w:hAnsi="Arial"/>
                <w:b/>
                <w:bCs/>
                <w:color w:val="555555"/>
                <w:sz w:val="20"/>
                <w:szCs w:val="20"/>
              </w:rPr>
              <w:t xml:space="preserve">Channel: </w:t>
            </w:r>
            <w:r>
              <w:rPr>
                <w:rFonts w:ascii="Arial" w:cs="Arial" w:eastAsia="Arial" w:hAnsi="Arial"/>
                <w:color w:val="333333"/>
                <w:sz w:val="20"/>
                <w:szCs w:val="20"/>
              </w:rPr>
              <w:t xml:space="preserve">Mixed organic + paid  |  Shows/Day: 1-3 shows/day</w:t>
            </w:r>
          </w:p>
          <w:p>
            <w:pPr>
              <w:spacing w:after="100" w:before="30"/>
            </w:pPr>
            <w:r>
              <w:rPr>
                <w:rFonts w:ascii="Arial" w:cs="Arial" w:eastAsia="Arial" w:hAnsi="Arial"/>
                <w:b/>
                <w:bCs/>
                <w:i/>
                <w:iCs/>
                <w:color w:val="C2185B"/>
                <w:sz w:val="20"/>
                <w:szCs w:val="20"/>
              </w:rPr>
              <w:t xml:space="preserve">Note: </w:t>
            </w:r>
            <w:r>
              <w:rPr>
                <w:rFonts w:ascii="Arial" w:cs="Arial" w:eastAsia="Arial" w:hAnsi="Arial"/>
                <w:i/>
                <w:iCs/>
                <w:color w:val="555555"/>
                <w:sz w:val="20"/>
                <w:szCs w:val="20"/>
              </w:rPr>
              <w:t xml:space="preserve">Gender flip at 25-34 (62% male) confirmed by Query 2. Prefers broader-appeal crossover titles rather than female-dominant romance dramas.</w:t>
            </w:r>
          </w:p>
        </w:tc>
      </w:tr>
    </w:tbl>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single" w:color="E65100" w:sz="20"/>
              <w:bottom w:val="single" w:color="DDDDDD" w:sz="2"/>
              <w:right w:val="none"/>
            </w:tcBorders>
            <w:shd w:fill="FAFAFA" w:val="clear"/>
          </w:tcPr>
          <w:p>
            <w:pPr>
              <w:spacing w:after="60" w:before="100"/>
            </w:pPr>
            <w:r>
              <w:rPr>
                <w:rFonts w:ascii="Arial" w:cs="Arial" w:eastAsia="Arial" w:hAnsi="Arial"/>
                <w:b/>
                <w:bCs/>
                <w:color w:val="E65100"/>
                <w:sz w:val="22"/>
                <w:szCs w:val="22"/>
              </w:rPr>
              <w:t xml:space="preserve">P3 - </w:t>
            </w:r>
            <w:r>
              <w:rPr>
                <w:rFonts w:ascii="Arial" w:cs="Arial" w:eastAsia="Arial" w:hAnsi="Arial"/>
                <w:b/>
                <w:bCs/>
                <w:color w:val="1A1A2E"/>
                <w:sz w:val="26"/>
                <w:szCs w:val="26"/>
              </w:rPr>
              <w:t xml:space="preserve">Discovery Sampler</w:t>
            </w:r>
            <w:r>
              <w:rPr>
                <w:rFonts w:ascii="Arial" w:cs="Arial" w:eastAsia="Arial" w:hAnsi="Arial"/>
                <w:b/>
                <w:bCs/>
                <w:color w:val="E65100"/>
                <w:sz w:val="20"/>
                <w:szCs w:val="20"/>
              </w:rPr>
              <w:t xml:space="preserve">    [CONVERT]</w:t>
            </w:r>
          </w:p>
          <w:p>
            <w:pPr>
              <w:spacing w:after="40" w:before="40"/>
            </w:pPr>
            <w:r>
              <w:rPr>
                <w:rFonts w:ascii="Arial" w:cs="Arial" w:eastAsia="Arial" w:hAnsi="Arial"/>
                <w:b/>
                <w:bCs/>
                <w:color w:val="555555"/>
                <w:sz w:val="20"/>
                <w:szCs w:val="20"/>
              </w:rPr>
              <w:t xml:space="preserve">Size: </w:t>
            </w:r>
            <w:r>
              <w:rPr>
                <w:rFonts w:ascii="Arial" w:cs="Arial" w:eastAsia="Arial" w:hAnsi="Arial"/>
                <w:color w:val="333333"/>
                <w:sz w:val="20"/>
                <w:szCs w:val="20"/>
              </w:rPr>
              <w:t xml:space="preserve">~308K (76.9%)  |  </w:t>
            </w:r>
            <w:r>
              <w:rPr>
                <w:rFonts w:ascii="Arial" w:cs="Arial" w:eastAsia="Arial" w:hAnsi="Arial"/>
                <w:b/>
                <w:bCs/>
                <w:color w:val="555555"/>
                <w:sz w:val="20"/>
                <w:szCs w:val="20"/>
              </w:rPr>
              <w:t xml:space="preserve">Demo: </w:t>
            </w:r>
            <w:r>
              <w:rPr>
                <w:rFonts w:ascii="Arial" w:cs="Arial" w:eastAsia="Arial" w:hAnsi="Arial"/>
                <w:color w:val="333333"/>
                <w:sz w:val="20"/>
                <w:szCs w:val="20"/>
              </w:rPr>
              <w:t xml:space="preserve">Broad demographic  |  </w:t>
            </w:r>
            <w:r>
              <w:rPr>
                <w:rFonts w:ascii="Arial" w:cs="Arial" w:eastAsia="Arial" w:hAnsi="Arial"/>
                <w:b/>
                <w:bCs/>
                <w:color w:val="555555"/>
                <w:sz w:val="20"/>
                <w:szCs w:val="20"/>
              </w:rPr>
              <w:t xml:space="preserve">MPC: </w:t>
            </w:r>
            <w:r>
              <w:rPr>
                <w:rFonts w:ascii="Arial" w:cs="Arial" w:eastAsia="Arial" w:hAnsi="Arial"/>
                <w:color w:val="333333"/>
                <w:sz w:val="20"/>
                <w:szCs w:val="20"/>
              </w:rPr>
              <w:t xml:space="preserve">7.8 min avg</w:t>
            </w:r>
          </w:p>
          <w:p>
            <w:pPr>
              <w:spacing w:after="30" w:before="30"/>
            </w:pPr>
            <w:r>
              <w:rPr>
                <w:rFonts w:ascii="Arial" w:cs="Arial" w:eastAsia="Arial" w:hAnsi="Arial"/>
                <w:b/>
                <w:bCs/>
                <w:color w:val="555555"/>
                <w:sz w:val="20"/>
                <w:szCs w:val="20"/>
              </w:rPr>
              <w:t xml:space="preserve">Content Signal: </w:t>
            </w:r>
            <w:r>
              <w:rPr>
                <w:rFonts w:ascii="Arial" w:cs="Arial" w:eastAsia="Arial" w:hAnsi="Arial"/>
                <w:color w:val="333333"/>
                <w:sz w:val="20"/>
                <w:szCs w:val="20"/>
              </w:rPr>
              <w:t xml:space="preserve">High-reach shows; &lt;8 min MPC — samples but does not commit</w:t>
            </w:r>
          </w:p>
          <w:p>
            <w:pPr>
              <w:spacing w:after="30" w:before="30"/>
            </w:pPr>
            <w:r>
              <w:rPr>
                <w:rFonts w:ascii="Arial" w:cs="Arial" w:eastAsia="Arial" w:hAnsi="Arial"/>
                <w:b/>
                <w:bCs/>
                <w:color w:val="555555"/>
                <w:sz w:val="20"/>
                <w:szCs w:val="20"/>
              </w:rPr>
              <w:t xml:space="preserve">Channel: </w:t>
            </w:r>
            <w:r>
              <w:rPr>
                <w:rFonts w:ascii="Arial" w:cs="Arial" w:eastAsia="Arial" w:hAnsi="Arial"/>
                <w:color w:val="333333"/>
                <w:sz w:val="20"/>
                <w:szCs w:val="20"/>
              </w:rPr>
              <w:t xml:space="preserve">Paid acquisition + Push Notification  |  Shows/Day: 1 show/day</w:t>
            </w:r>
          </w:p>
          <w:p>
            <w:pPr>
              <w:spacing w:after="100" w:before="30"/>
            </w:pPr>
            <w:r>
              <w:rPr>
                <w:rFonts w:ascii="Arial" w:cs="Arial" w:eastAsia="Arial" w:hAnsi="Arial"/>
                <w:b/>
                <w:bCs/>
                <w:i/>
                <w:iCs/>
                <w:color w:val="E65100"/>
                <w:sz w:val="20"/>
                <w:szCs w:val="20"/>
              </w:rPr>
              <w:t xml:space="preserve">Note: </w:t>
            </w:r>
            <w:r>
              <w:rPr>
                <w:rFonts w:ascii="Arial" w:cs="Arial" w:eastAsia="Arial" w:hAnsi="Arial"/>
                <w:i/>
                <w:iCs/>
                <w:color w:val="555555"/>
                <w:sz w:val="20"/>
                <w:szCs w:val="20"/>
              </w:rPr>
              <w:t xml:space="preserve">Numerically the largest cohort but lowest engagement. Converting 10% to 2-show explorer behavior would add 1.1M+ watchtime minutes daily.</w:t>
            </w:r>
          </w:p>
        </w:tc>
      </w:tr>
    </w:tbl>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20"/>
              <w:bottom w:val="single" w:color="DDDDDD" w:sz="2"/>
              <w:right w:val="none"/>
            </w:tcBorders>
            <w:shd w:fill="FAFAFA" w:val="clear"/>
          </w:tcPr>
          <w:p>
            <w:pPr>
              <w:spacing w:after="60" w:before="100"/>
            </w:pPr>
            <w:r>
              <w:rPr>
                <w:rFonts w:ascii="Arial" w:cs="Arial" w:eastAsia="Arial" w:hAnsi="Arial"/>
                <w:b/>
                <w:bCs/>
                <w:color w:val="1565C0"/>
                <w:sz w:val="22"/>
                <w:szCs w:val="22"/>
              </w:rPr>
              <w:t xml:space="preserve">P4 - </w:t>
            </w:r>
            <w:r>
              <w:rPr>
                <w:rFonts w:ascii="Arial" w:cs="Arial" w:eastAsia="Arial" w:hAnsi="Arial"/>
                <w:b/>
                <w:bCs/>
                <w:color w:val="1A1A2E"/>
                <w:sz w:val="26"/>
                <w:szCs w:val="26"/>
              </w:rPr>
              <w:t xml:space="preserve">Multi-Show Power User</w:t>
            </w:r>
            <w:r>
              <w:rPr>
                <w:rFonts w:ascii="Arial" w:cs="Arial" w:eastAsia="Arial" w:hAnsi="Arial"/>
                <w:b/>
                <w:bCs/>
                <w:color w:val="1565C0"/>
                <w:sz w:val="20"/>
                <w:szCs w:val="20"/>
              </w:rPr>
              <w:t xml:space="preserve">    [NOURISH]</w:t>
            </w:r>
          </w:p>
          <w:p>
            <w:pPr>
              <w:spacing w:after="40" w:before="40"/>
            </w:pPr>
            <w:r>
              <w:rPr>
                <w:rFonts w:ascii="Arial" w:cs="Arial" w:eastAsia="Arial" w:hAnsi="Arial"/>
                <w:b/>
                <w:bCs/>
                <w:color w:val="555555"/>
                <w:sz w:val="20"/>
                <w:szCs w:val="20"/>
              </w:rPr>
              <w:t xml:space="preserve">Size: </w:t>
            </w:r>
            <w:r>
              <w:rPr>
                <w:rFonts w:ascii="Arial" w:cs="Arial" w:eastAsia="Arial" w:hAnsi="Arial"/>
                <w:color w:val="333333"/>
                <w:sz w:val="20"/>
                <w:szCs w:val="20"/>
              </w:rPr>
              <w:t xml:space="preserve">~28K (7%)  |  </w:t>
            </w:r>
            <w:r>
              <w:rPr>
                <w:rFonts w:ascii="Arial" w:cs="Arial" w:eastAsia="Arial" w:hAnsi="Arial"/>
                <w:b/>
                <w:bCs/>
                <w:color w:val="555555"/>
                <w:sz w:val="20"/>
                <w:szCs w:val="20"/>
              </w:rPr>
              <w:t xml:space="preserve">Demo: </w:t>
            </w:r>
            <w:r>
              <w:rPr>
                <w:rFonts w:ascii="Arial" w:cs="Arial" w:eastAsia="Arial" w:hAnsi="Arial"/>
                <w:color w:val="333333"/>
                <w:sz w:val="20"/>
                <w:szCs w:val="20"/>
              </w:rPr>
              <w:t xml:space="preserve">Mixed under-35  |  </w:t>
            </w:r>
            <w:r>
              <w:rPr>
                <w:rFonts w:ascii="Arial" w:cs="Arial" w:eastAsia="Arial" w:hAnsi="Arial"/>
                <w:b/>
                <w:bCs/>
                <w:color w:val="555555"/>
                <w:sz w:val="20"/>
                <w:szCs w:val="20"/>
              </w:rPr>
              <w:t xml:space="preserve">MPC: </w:t>
            </w:r>
            <w:r>
              <w:rPr>
                <w:rFonts w:ascii="Arial" w:cs="Arial" w:eastAsia="Arial" w:hAnsi="Arial"/>
                <w:color w:val="333333"/>
                <w:sz w:val="20"/>
                <w:szCs w:val="20"/>
              </w:rPr>
              <w:t xml:space="preserve">100-165 min</w:t>
            </w:r>
          </w:p>
          <w:p>
            <w:pPr>
              <w:spacing w:after="30" w:before="30"/>
            </w:pPr>
            <w:r>
              <w:rPr>
                <w:rFonts w:ascii="Arial" w:cs="Arial" w:eastAsia="Arial" w:hAnsi="Arial"/>
                <w:b/>
                <w:bCs/>
                <w:color w:val="555555"/>
                <w:sz w:val="20"/>
                <w:szCs w:val="20"/>
              </w:rPr>
              <w:t xml:space="preserve">Content Signal: </w:t>
            </w:r>
            <w:r>
              <w:rPr>
                <w:rFonts w:ascii="Arial" w:cs="Arial" w:eastAsia="Arial" w:hAnsi="Arial"/>
                <w:color w:val="333333"/>
                <w:sz w:val="20"/>
                <w:szCs w:val="20"/>
              </w:rPr>
              <w:t xml:space="preserve">4+ shows per day; 100-165 min; platform-dedicated behavior</w:t>
            </w:r>
          </w:p>
          <w:p>
            <w:pPr>
              <w:spacing w:after="30" w:before="30"/>
            </w:pPr>
            <w:r>
              <w:rPr>
                <w:rFonts w:ascii="Arial" w:cs="Arial" w:eastAsia="Arial" w:hAnsi="Arial"/>
                <w:b/>
                <w:bCs/>
                <w:color w:val="555555"/>
                <w:sz w:val="20"/>
                <w:szCs w:val="20"/>
              </w:rPr>
              <w:t xml:space="preserve">Channel: </w:t>
            </w:r>
            <w:r>
              <w:rPr>
                <w:rFonts w:ascii="Arial" w:cs="Arial" w:eastAsia="Arial" w:hAnsi="Arial"/>
                <w:color w:val="333333"/>
                <w:sz w:val="20"/>
                <w:szCs w:val="20"/>
              </w:rPr>
              <w:t xml:space="preserve">Organic (habitual return)  |  Shows/Day: 4-10+ shows/day</w:t>
            </w:r>
          </w:p>
          <w:p>
            <w:pPr>
              <w:spacing w:after="100" w:before="30"/>
            </w:pPr>
            <w:r>
              <w:rPr>
                <w:rFonts w:ascii="Arial" w:cs="Arial" w:eastAsia="Arial" w:hAnsi="Arial"/>
                <w:b/>
                <w:bCs/>
                <w:i/>
                <w:iCs/>
                <w:color w:val="1565C0"/>
                <w:sz w:val="20"/>
                <w:szCs w:val="20"/>
              </w:rPr>
              <w:t xml:space="preserve">Note: </w:t>
            </w:r>
            <w:r>
              <w:rPr>
                <w:rFonts w:ascii="Arial" w:cs="Arial" w:eastAsia="Arial" w:hAnsi="Arial"/>
                <w:i/>
                <w:iCs/>
                <w:color w:val="555555"/>
                <w:sz w:val="20"/>
                <w:szCs w:val="20"/>
              </w:rPr>
              <w:t xml:space="preserve">Small but disproportionately high watchtime contribution. Content appetite exceeds current recommendation surface. Slate gap signals most visible here.</w:t>
            </w:r>
          </w:p>
        </w:tc>
      </w:tr>
    </w:tbl>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8"/>
              <w:left w:val="single" w:color="00897B" w:sz="20"/>
              <w:bottom w:val="single" w:color="DDDDDD" w:sz="2"/>
              <w:right w:val="none"/>
            </w:tcBorders>
            <w:shd w:fill="FAFAFA" w:val="clear"/>
          </w:tcPr>
          <w:p>
            <w:pPr>
              <w:spacing w:after="60" w:before="100"/>
            </w:pPr>
            <w:r>
              <w:rPr>
                <w:rFonts w:ascii="Arial" w:cs="Arial" w:eastAsia="Arial" w:hAnsi="Arial"/>
                <w:b/>
                <w:bCs/>
                <w:color w:val="00897B"/>
                <w:sz w:val="22"/>
                <w:szCs w:val="22"/>
              </w:rPr>
              <w:t xml:space="preserve">P5 - </w:t>
            </w:r>
            <w:r>
              <w:rPr>
                <w:rFonts w:ascii="Arial" w:cs="Arial" w:eastAsia="Arial" w:hAnsi="Arial"/>
                <w:b/>
                <w:bCs/>
                <w:color w:val="1A1A2E"/>
                <w:sz w:val="26"/>
                <w:szCs w:val="26"/>
              </w:rPr>
              <w:t xml:space="preserve">Mature Loyal Viewer</w:t>
            </w:r>
            <w:r>
              <w:rPr>
                <w:rFonts w:ascii="Arial" w:cs="Arial" w:eastAsia="Arial" w:hAnsi="Arial"/>
                <w:b/>
                <w:bCs/>
                <w:color w:val="00897B"/>
                <w:sz w:val="20"/>
                <w:szCs w:val="20"/>
              </w:rPr>
              <w:t xml:space="preserve">    [SUSTAIN]</w:t>
            </w:r>
          </w:p>
          <w:p>
            <w:pPr>
              <w:spacing w:after="40" w:before="40"/>
            </w:pPr>
            <w:r>
              <w:rPr>
                <w:rFonts w:ascii="Arial" w:cs="Arial" w:eastAsia="Arial" w:hAnsi="Arial"/>
                <w:b/>
                <w:bCs/>
                <w:color w:val="555555"/>
                <w:sz w:val="20"/>
                <w:szCs w:val="20"/>
              </w:rPr>
              <w:t xml:space="preserve">Size: </w:t>
            </w:r>
            <w:r>
              <w:rPr>
                <w:rFonts w:ascii="Arial" w:cs="Arial" w:eastAsia="Arial" w:hAnsi="Arial"/>
                <w:color w:val="333333"/>
                <w:sz w:val="20"/>
                <w:szCs w:val="20"/>
              </w:rPr>
              <w:t xml:space="preserve">~52K (13.7%)  |  </w:t>
            </w:r>
            <w:r>
              <w:rPr>
                <w:rFonts w:ascii="Arial" w:cs="Arial" w:eastAsia="Arial" w:hAnsi="Arial"/>
                <w:b/>
                <w:bCs/>
                <w:color w:val="555555"/>
                <w:sz w:val="20"/>
                <w:szCs w:val="20"/>
              </w:rPr>
              <w:t xml:space="preserve">Demo: </w:t>
            </w:r>
            <w:r>
              <w:rPr>
                <w:rFonts w:ascii="Arial" w:cs="Arial" w:eastAsia="Arial" w:hAnsi="Arial"/>
                <w:color w:val="333333"/>
                <w:sz w:val="20"/>
                <w:szCs w:val="20"/>
              </w:rPr>
              <w:t xml:space="preserve">Female / Male 35-44  |  </w:t>
            </w:r>
            <w:r>
              <w:rPr>
                <w:rFonts w:ascii="Arial" w:cs="Arial" w:eastAsia="Arial" w:hAnsi="Arial"/>
                <w:b/>
                <w:bCs/>
                <w:color w:val="555555"/>
                <w:sz w:val="20"/>
                <w:szCs w:val="20"/>
              </w:rPr>
              <w:t xml:space="preserve">MPC: </w:t>
            </w:r>
            <w:r>
              <w:rPr>
                <w:rFonts w:ascii="Arial" w:cs="Arial" w:eastAsia="Arial" w:hAnsi="Arial"/>
                <w:color w:val="333333"/>
                <w:sz w:val="20"/>
                <w:szCs w:val="20"/>
              </w:rPr>
              <w:t xml:space="preserve">20-30 min</w:t>
            </w:r>
          </w:p>
          <w:p>
            <w:pPr>
              <w:spacing w:after="30" w:before="30"/>
            </w:pPr>
            <w:r>
              <w:rPr>
                <w:rFonts w:ascii="Arial" w:cs="Arial" w:eastAsia="Arial" w:hAnsi="Arial"/>
                <w:b/>
                <w:bCs/>
                <w:color w:val="555555"/>
                <w:sz w:val="20"/>
                <w:szCs w:val="20"/>
              </w:rPr>
              <w:t xml:space="preserve">Content Signal: </w:t>
            </w:r>
            <w:r>
              <w:rPr>
                <w:rFonts w:ascii="Arial" w:cs="Arial" w:eastAsia="Arial" w:hAnsi="Arial"/>
                <w:color w:val="333333"/>
                <w:sz w:val="20"/>
                <w:szCs w:val="20"/>
              </w:rPr>
              <w:t xml:space="preserve">Empowerment and family dramas (Unbossed Wife, I Raised Our Child Alone); 20+ MPC</w:t>
            </w:r>
          </w:p>
          <w:p>
            <w:pPr>
              <w:spacing w:after="30" w:before="30"/>
            </w:pPr>
            <w:r>
              <w:rPr>
                <w:rFonts w:ascii="Arial" w:cs="Arial" w:eastAsia="Arial" w:hAnsi="Arial"/>
                <w:b/>
                <w:bCs/>
                <w:color w:val="555555"/>
                <w:sz w:val="20"/>
                <w:szCs w:val="20"/>
              </w:rPr>
              <w:t xml:space="preserve">Channel: </w:t>
            </w:r>
            <w:r>
              <w:rPr>
                <w:rFonts w:ascii="Arial" w:cs="Arial" w:eastAsia="Arial" w:hAnsi="Arial"/>
                <w:color w:val="333333"/>
                <w:sz w:val="20"/>
                <w:szCs w:val="20"/>
              </w:rPr>
              <w:t xml:space="preserve">Organic (stable)  |  Shows/Day: 1-3 shows/day</w:t>
            </w:r>
          </w:p>
          <w:p>
            <w:pPr>
              <w:spacing w:after="100" w:before="30"/>
            </w:pPr>
            <w:r>
              <w:rPr>
                <w:rFonts w:ascii="Arial" w:cs="Arial" w:eastAsia="Arial" w:hAnsi="Arial"/>
                <w:b/>
                <w:bCs/>
                <w:i/>
                <w:iCs/>
                <w:color w:val="00897B"/>
                <w:sz w:val="20"/>
                <w:szCs w:val="20"/>
              </w:rPr>
              <w:t xml:space="preserve">Note: </w:t>
            </w:r>
            <w:r>
              <w:rPr>
                <w:rFonts w:ascii="Arial" w:cs="Arial" w:eastAsia="Arial" w:hAnsi="Arial"/>
                <w:i/>
                <w:iCs/>
                <w:color w:val="555555"/>
                <w:sz w:val="20"/>
                <w:szCs w:val="20"/>
              </w:rPr>
              <w:t xml:space="preserve">Most stable, habitual audience. Lower peak engagement but consistent daily viewing. Important for household and family advertiser CPM products.</w:t>
            </w:r>
          </w:p>
        </w:tc>
      </w:tr>
    </w:tbl>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8"/>
              <w:left w:val="single" w:color="7B1FA2" w:sz="20"/>
              <w:bottom w:val="single" w:color="DDDDDD" w:sz="2"/>
              <w:right w:val="none"/>
            </w:tcBorders>
            <w:shd w:fill="FAFAFA" w:val="clear"/>
          </w:tcPr>
          <w:p>
            <w:pPr>
              <w:spacing w:after="60" w:before="100"/>
            </w:pPr>
            <w:r>
              <w:rPr>
                <w:rFonts w:ascii="Arial" w:cs="Arial" w:eastAsia="Arial" w:hAnsi="Arial"/>
                <w:b/>
                <w:bCs/>
                <w:color w:val="7B1FA2"/>
                <w:sz w:val="22"/>
                <w:szCs w:val="22"/>
              </w:rPr>
              <w:t xml:space="preserve">P6 - </w:t>
            </w:r>
            <w:r>
              <w:rPr>
                <w:rFonts w:ascii="Arial" w:cs="Arial" w:eastAsia="Arial" w:hAnsi="Arial"/>
                <w:b/>
                <w:bCs/>
                <w:color w:val="1A1A2E"/>
                <w:sz w:val="26"/>
                <w:szCs w:val="26"/>
              </w:rPr>
              <w:t xml:space="preserve">Hindi Content Explorer</w:t>
            </w:r>
            <w:r>
              <w:rPr>
                <w:rFonts w:ascii="Arial" w:cs="Arial" w:eastAsia="Arial" w:hAnsi="Arial"/>
                <w:b/>
                <w:bCs/>
                <w:color w:val="7B1FA2"/>
                <w:sz w:val="20"/>
                <w:szCs w:val="20"/>
              </w:rPr>
              <w:t xml:space="preserve">    [EXPLORE]</w:t>
            </w:r>
          </w:p>
          <w:p>
            <w:pPr>
              <w:spacing w:after="40" w:before="40"/>
            </w:pPr>
            <w:r>
              <w:rPr>
                <w:rFonts w:ascii="Arial" w:cs="Arial" w:eastAsia="Arial" w:hAnsi="Arial"/>
                <w:b/>
                <w:bCs/>
                <w:color w:val="555555"/>
                <w:sz w:val="20"/>
                <w:szCs w:val="20"/>
              </w:rPr>
              <w:t xml:space="preserve">Size: </w:t>
            </w:r>
            <w:r>
              <w:rPr>
                <w:rFonts w:ascii="Arial" w:cs="Arial" w:eastAsia="Arial" w:hAnsi="Arial"/>
                <w:color w:val="333333"/>
                <w:sz w:val="20"/>
                <w:szCs w:val="20"/>
              </w:rPr>
              <w:t xml:space="preserve">~97K (est.)  |  </w:t>
            </w:r>
            <w:r>
              <w:rPr>
                <w:rFonts w:ascii="Arial" w:cs="Arial" w:eastAsia="Arial" w:hAnsi="Arial"/>
                <w:b/>
                <w:bCs/>
                <w:color w:val="555555"/>
                <w:sz w:val="20"/>
                <w:szCs w:val="20"/>
              </w:rPr>
              <w:t xml:space="preserve">Demo: </w:t>
            </w:r>
            <w:r>
              <w:rPr>
                <w:rFonts w:ascii="Arial" w:cs="Arial" w:eastAsia="Arial" w:hAnsi="Arial"/>
                <w:color w:val="333333"/>
                <w:sz w:val="20"/>
                <w:szCs w:val="20"/>
              </w:rPr>
              <w:t xml:space="preserve">TBD (Ek Badnaam Aashram viewers)  |  </w:t>
            </w:r>
            <w:r>
              <w:rPr>
                <w:rFonts w:ascii="Arial" w:cs="Arial" w:eastAsia="Arial" w:hAnsi="Arial"/>
                <w:b/>
                <w:bCs/>
                <w:color w:val="555555"/>
                <w:sz w:val="20"/>
                <w:szCs w:val="20"/>
              </w:rPr>
              <w:t xml:space="preserve">MPC: </w:t>
            </w:r>
            <w:r>
              <w:rPr>
                <w:rFonts w:ascii="Arial" w:cs="Arial" w:eastAsia="Arial" w:hAnsi="Arial"/>
                <w:color w:val="333333"/>
                <w:sz w:val="20"/>
                <w:szCs w:val="20"/>
              </w:rPr>
              <w:t xml:space="preserve">&lt;5 min</w:t>
            </w:r>
          </w:p>
          <w:p>
            <w:pPr>
              <w:spacing w:after="30" w:before="30"/>
            </w:pPr>
            <w:r>
              <w:rPr>
                <w:rFonts w:ascii="Arial" w:cs="Arial" w:eastAsia="Arial" w:hAnsi="Arial"/>
                <w:b/>
                <w:bCs/>
                <w:color w:val="555555"/>
                <w:sz w:val="20"/>
                <w:szCs w:val="20"/>
              </w:rPr>
              <w:t xml:space="preserve">Content Signal: </w:t>
            </w:r>
            <w:r>
              <w:rPr>
                <w:rFonts w:ascii="Arial" w:cs="Arial" w:eastAsia="Arial" w:hAnsi="Arial"/>
                <w:color w:val="333333"/>
                <w:sz w:val="20"/>
                <w:szCs w:val="20"/>
              </w:rPr>
              <w:t xml:space="preserve">Hindi-language content; 1.8 MPC — sampling only, no retention</w:t>
            </w:r>
          </w:p>
          <w:p>
            <w:pPr>
              <w:spacing w:after="30" w:before="30"/>
            </w:pPr>
            <w:r>
              <w:rPr>
                <w:rFonts w:ascii="Arial" w:cs="Arial" w:eastAsia="Arial" w:hAnsi="Arial"/>
                <w:b/>
                <w:bCs/>
                <w:color w:val="555555"/>
                <w:sz w:val="20"/>
                <w:szCs w:val="20"/>
              </w:rPr>
              <w:t xml:space="preserve">Channel: </w:t>
            </w:r>
            <w:r>
              <w:rPr>
                <w:rFonts w:ascii="Arial" w:cs="Arial" w:eastAsia="Arial" w:hAnsi="Arial"/>
                <w:color w:val="333333"/>
                <w:sz w:val="20"/>
                <w:szCs w:val="20"/>
              </w:rPr>
              <w:t xml:space="preserve">TBD  |  Shows/Day: 1 show/day</w:t>
            </w:r>
          </w:p>
          <w:p>
            <w:pPr>
              <w:spacing w:after="100" w:before="30"/>
            </w:pPr>
            <w:r>
              <w:rPr>
                <w:rFonts w:ascii="Arial" w:cs="Arial" w:eastAsia="Arial" w:hAnsi="Arial"/>
                <w:b/>
                <w:bCs/>
                <w:i/>
                <w:iCs/>
                <w:color w:val="7B1FA2"/>
                <w:sz w:val="20"/>
                <w:szCs w:val="20"/>
              </w:rPr>
              <w:t xml:space="preserve">Note: </w:t>
            </w:r>
            <w:r>
              <w:rPr>
                <w:rFonts w:ascii="Arial" w:cs="Arial" w:eastAsia="Arial" w:hAnsi="Arial"/>
                <w:i/>
                <w:iCs/>
                <w:color w:val="555555"/>
                <w:sz w:val="20"/>
                <w:szCs w:val="20"/>
              </w:rPr>
              <w:t xml:space="preserve">Identified by the Ek Badnaam Aashram anomaly (97K streamers, 1.8 MPC). Represents either content-format mismatch or distinct unmet content needs. Requires dedicated analysis.</w:t>
            </w:r>
          </w:p>
        </w:tc>
      </w:tr>
    </w:tbl>
    <w:p>
      <w:pPr>
        <w:spacing w:after="0" w:before="80"/>
      </w:pPr>
      <w:r>
        <w:t xml:space="preserve"/>
      </w:r>
    </w:p>
    <w:p>
      <w:pPr>
        <w:spacing w:after="0" w:before="1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single" w:color="C2185B" w:sz="18"/>
              <w:bottom w:val="single" w:color="EEEEEE" w:sz="2"/>
              <w:right w:val="single" w:color="EEEEEE" w:sz="2"/>
            </w:tcBorders>
            <w:shd w:fill="FFF5F7" w:val="clear"/>
          </w:tcPr>
          <w:p>
            <w:pPr>
              <w:spacing w:after="120" w:before="120"/>
            </w:pPr>
            <w:r>
              <w:rPr>
                <w:rFonts w:ascii="Arial" w:cs="Arial" w:eastAsia="Arial" w:hAnsi="Arial"/>
                <w:b/>
                <w:bCs/>
                <w:color w:val="C2185B"/>
                <w:sz w:val="22"/>
                <w:szCs w:val="22"/>
              </w:rPr>
              <w:t xml:space="preserve">Phase 1 Conclusion: All six persona hypotheses are grounded in live behavioral data from 400K+ daily streamers. The critical next step is Phase 2 — applying clustering algorithms across the 5-dimensional feature matrix (demographics, content preference, engagement depth, channel behavior, multi-show consumption) to validate, merge, or split these hypotheses into statistically defined personas.</w:t>
            </w:r>
          </w:p>
        </w:tc>
      </w:tr>
    </w:tbl>
    <w:p>
      <w:pPr>
        <w:spacing w:after="0" w:before="200"/>
      </w:pPr>
      <w:r>
        <w:t xml:space="preserve"/>
      </w:r>
    </w:p>
    <w:p>
      <w:r>
        <w:br w:type="page"/>
      </w:r>
    </w:p>
    <w:p>
      <w:pPr>
        <w:pStyle w:val="SectionHeading"/>
      </w:pPr>
      <w:r>
        <w:t xml:space="preserve">Data Sources &amp; Methodology</w:t>
      </w:r>
    </w:p>
    <w:p>
      <w:pPr>
        <w:pStyle w:val="Body"/>
      </w:pPr>
      <w:r>
        <w:t xml:space="preserve">All Phase 1 analyses were executed against the AMXP-BI-MCP-PROD Redshift database using live production data. The following tables were queried and confirmed available for Phase 2 persona construction.</w:t>
      </w:r>
    </w:p>
    <w:p>
      <w:pPr>
        <w:spacing w:after="0" w:before="80"/>
      </w:pPr>
      <w:r>
        <w:t xml:space="preserve"/>
      </w:r>
    </w:p>
    <w:p>
      <w:pPr>
        <w:pStyle w:val="SubHeading"/>
      </w:pPr>
      <w:r>
        <w:t xml:space="preserve">Data Sources Confirmed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400"/>
        <w:gridCol w:w="1400"/>
        <w:gridCol w:w="1760"/>
      </w:tblGrid>
      <w:tr>
        <w:trPr>
          <w:tblHeader/>
        </w:trPr>
        <w:tc>
          <w:tcPr>
            <w:tcW w:type="dxa" w:w="26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Table Name</w:t>
            </w:r>
          </w:p>
        </w:tc>
        <w:tc>
          <w:tcPr>
            <w:tcW w:type="dxa" w:w="1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Schema</w:t>
            </w:r>
          </w:p>
        </w:tc>
        <w:tc>
          <w:tcPr>
            <w:tcW w:type="dxa" w:w="24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Purpose</w:t>
            </w:r>
          </w:p>
        </w:tc>
        <w:tc>
          <w:tcPr>
            <w:tcW w:type="dxa" w:w="14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Status</w:t>
            </w:r>
          </w:p>
        </w:tc>
        <w:tc>
          <w:tcPr>
            <w:tcW w:type="dxa" w:w="17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Note</w:t>
            </w:r>
          </w:p>
        </w:tc>
      </w:tr>
      <w:tr>
        <w:tc>
          <w:tcPr>
            <w:tcW w:type="dxa" w:w="26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1565C0"/>
                <w:sz w:val="20"/>
                <w:szCs w:val="20"/>
              </w:rPr>
              <w:t xml:space="preserve">mxp_fatafat_player_engagement</w:t>
            </w:r>
          </w:p>
        </w:tc>
        <w:tc>
          <w:tcPr>
            <w:tcW w:type="dxa" w:w="12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555555"/>
                <w:sz w:val="20"/>
                <w:szCs w:val="20"/>
              </w:rPr>
              <w:t xml:space="preserve">fatafat</w:t>
            </w:r>
          </w:p>
        </w:tc>
        <w:tc>
          <w:tcPr>
            <w:tcW w:type="dxa" w:w="24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Streaming events, engagement, MPC, session signals</w:t>
            </w:r>
          </w:p>
        </w:tc>
        <w:tc>
          <w:tcPr>
            <w:tcW w:type="dxa" w:w="14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00897B"/>
                <w:sz w:val="20"/>
                <w:szCs w:val="20"/>
              </w:rPr>
              <w:t xml:space="preserve">Queried (Q1,Q4,Q5,S1-S3)</w:t>
            </w:r>
          </w:p>
        </w:tc>
        <w:tc>
          <w:tcPr>
            <w:tcW w:type="dxa" w:w="176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777777"/>
                <w:sz w:val="20"/>
                <w:szCs w:val="20"/>
              </w:rPr>
              <w:t xml:space="preserve">Primary behavioral source</w:t>
            </w:r>
          </w:p>
        </w:tc>
      </w:tr>
      <w:tr>
        <w:tc>
          <w:tcPr>
            <w:tcW w:type="dxa" w:w="26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1565C0"/>
                <w:sz w:val="20"/>
                <w:szCs w:val="20"/>
              </w:rPr>
              <w:t xml:space="preserve">mxp_age_gender_details_table_v3</w:t>
            </w:r>
          </w:p>
        </w:tc>
        <w:tc>
          <w:tcPr>
            <w:tcW w:type="dxa" w:w="12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555555"/>
                <w:sz w:val="20"/>
                <w:szCs w:val="20"/>
              </w:rPr>
              <w:t xml:space="preserve">public</w:t>
            </w:r>
          </w:p>
        </w:tc>
        <w:tc>
          <w:tcPr>
            <w:tcW w:type="dxa" w:w="24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Demographics — age/gender for 228M users (ML + Amazon + MX sources)</w:t>
            </w:r>
          </w:p>
        </w:tc>
        <w:tc>
          <w:tcPr>
            <w:tcW w:type="dxa" w:w="14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00897B"/>
                <w:sz w:val="20"/>
                <w:szCs w:val="20"/>
              </w:rPr>
              <w:t xml:space="preserve">Queried (Q2, Q8)</w:t>
            </w:r>
          </w:p>
        </w:tc>
        <w:tc>
          <w:tcPr>
            <w:tcW w:type="dxa" w:w="176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777777"/>
                <w:sz w:val="20"/>
                <w:szCs w:val="20"/>
              </w:rPr>
              <w:t xml:space="preserve">95% match rate to streamers</w:t>
            </w:r>
          </w:p>
        </w:tc>
      </w:tr>
      <w:tr>
        <w:tc>
          <w:tcPr>
            <w:tcW w:type="dxa" w:w="26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1565C0"/>
                <w:sz w:val="20"/>
                <w:szCs w:val="20"/>
              </w:rPr>
              <w:t xml:space="preserve">mxp_persona_details_table_v3</w:t>
            </w:r>
          </w:p>
        </w:tc>
        <w:tc>
          <w:tcPr>
            <w:tcW w:type="dxa" w:w="12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555555"/>
                <w:sz w:val="20"/>
                <w:szCs w:val="20"/>
              </w:rPr>
              <w:t xml:space="preserve">public</w:t>
            </w:r>
          </w:p>
        </w:tc>
        <w:tc>
          <w:tcPr>
            <w:tcW w:type="dxa" w:w="24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Interest segments — 181M ML users + 54M Amazon users (long format: 10+ tags/user)</w:t>
            </w:r>
          </w:p>
        </w:tc>
        <w:tc>
          <w:tcPr>
            <w:tcW w:type="dxa" w:w="14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00897B"/>
                <w:sz w:val="20"/>
                <w:szCs w:val="20"/>
              </w:rPr>
              <w:t xml:space="preserve">Queried (Q3)</w:t>
            </w:r>
          </w:p>
        </w:tc>
        <w:tc>
          <w:tcPr>
            <w:tcW w:type="dxa" w:w="176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777777"/>
                <w:sz w:val="20"/>
                <w:szCs w:val="20"/>
              </w:rPr>
              <w:t xml:space="preserve">ML source only used</w:t>
            </w:r>
          </w:p>
        </w:tc>
      </w:tr>
      <w:tr>
        <w:tc>
          <w:tcPr>
            <w:tcW w:type="dxa" w:w="26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1565C0"/>
                <w:sz w:val="20"/>
                <w:szCs w:val="20"/>
              </w:rPr>
              <w:t xml:space="preserve">daily_cms_data_table</w:t>
            </w:r>
          </w:p>
        </w:tc>
        <w:tc>
          <w:tcPr>
            <w:tcW w:type="dxa" w:w="12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555555"/>
                <w:sz w:val="20"/>
                <w:szCs w:val="20"/>
              </w:rPr>
              <w:t xml:space="preserve">public</w:t>
            </w:r>
          </w:p>
        </w:tc>
        <w:tc>
          <w:tcPr>
            <w:tcW w:type="dxa" w:w="24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Content metadata — show names, episode numbers, season numbers, video IDs</w:t>
            </w:r>
          </w:p>
        </w:tc>
        <w:tc>
          <w:tcPr>
            <w:tcW w:type="dxa" w:w="14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00897B"/>
                <w:sz w:val="20"/>
                <w:szCs w:val="20"/>
              </w:rPr>
              <w:t xml:space="preserve">Queried (Q4, S1-S3)</w:t>
            </w:r>
          </w:p>
        </w:tc>
        <w:tc>
          <w:tcPr>
            <w:tcW w:type="dxa" w:w="176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777777"/>
                <w:sz w:val="20"/>
                <w:szCs w:val="20"/>
              </w:rPr>
              <w:t xml:space="preserve">episode_number cast to INT for ordering</w:t>
            </w:r>
          </w:p>
        </w:tc>
      </w:tr>
      <w:tr>
        <w:tc>
          <w:tcPr>
            <w:tcW w:type="dxa" w:w="260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1565C0"/>
                <w:sz w:val="20"/>
                <w:szCs w:val="20"/>
              </w:rPr>
              <w:t xml:space="preserve">mxp_fatafat_player_interaction_v2</w:t>
            </w:r>
          </w:p>
        </w:tc>
        <w:tc>
          <w:tcPr>
            <w:tcW w:type="dxa" w:w="1200"/>
            <w:tcBorders>
              <w:top w:val="single" w:color="D0D0D0" w:sz="1"/>
              <w:left w:val="single" w:color="D0D0D0" w:sz="1"/>
              <w:bottom w:val="single" w:color="D0D0D0" w:sz="1"/>
              <w:right w:val="single" w:color="D0D0D0" w:sz="1"/>
            </w:tcBorders>
            <w:shd w:fill="FFF8E1" w:val="clear"/>
          </w:tcPr>
          <w:p>
            <w:pPr>
              <w:spacing w:after="60" w:before="60"/>
              <w:jc w:val="center"/>
            </w:pPr>
            <w:r>
              <w:rPr>
                <w:rFonts w:ascii="Arial" w:cs="Arial" w:eastAsia="Arial" w:hAnsi="Arial"/>
                <w:b w:val="false"/>
                <w:bCs w:val="false"/>
                <w:color w:val="555555"/>
                <w:sz w:val="20"/>
                <w:szCs w:val="20"/>
              </w:rPr>
              <w:t xml:space="preserve">fatafat</w:t>
            </w:r>
          </w:p>
        </w:tc>
        <w:tc>
          <w:tcPr>
            <w:tcW w:type="dxa" w:w="240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2C3E50"/>
                <w:sz w:val="20"/>
                <w:szCs w:val="20"/>
              </w:rPr>
              <w:t xml:space="preserve">Player interactions — seek behavior, playback speed, buffering patterns</w:t>
            </w:r>
          </w:p>
        </w:tc>
        <w:tc>
          <w:tcPr>
            <w:tcW w:type="dxa" w:w="140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E65100"/>
                <w:sz w:val="20"/>
                <w:szCs w:val="20"/>
              </w:rPr>
              <w:t xml:space="preserve">Available for Phase 2</w:t>
            </w:r>
          </w:p>
        </w:tc>
        <w:tc>
          <w:tcPr>
            <w:tcW w:type="dxa" w:w="176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777777"/>
                <w:sz w:val="20"/>
                <w:szCs w:val="20"/>
              </w:rPr>
              <w:t xml:space="preserve">Engagement quality signals</w:t>
            </w:r>
          </w:p>
        </w:tc>
      </w:tr>
      <w:tr>
        <w:tc>
          <w:tcPr>
            <w:tcW w:type="dxa" w:w="260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1565C0"/>
                <w:sz w:val="20"/>
                <w:szCs w:val="20"/>
              </w:rPr>
              <w:t xml:space="preserve">appsflyer_install_table</w:t>
            </w:r>
          </w:p>
        </w:tc>
        <w:tc>
          <w:tcPr>
            <w:tcW w:type="dxa" w:w="1200"/>
            <w:tcBorders>
              <w:top w:val="single" w:color="D0D0D0" w:sz="1"/>
              <w:left w:val="single" w:color="D0D0D0" w:sz="1"/>
              <w:bottom w:val="single" w:color="D0D0D0" w:sz="1"/>
              <w:right w:val="single" w:color="D0D0D0" w:sz="1"/>
            </w:tcBorders>
            <w:shd w:fill="FFF8E1" w:val="clear"/>
          </w:tcPr>
          <w:p>
            <w:pPr>
              <w:spacing w:after="60" w:before="60"/>
              <w:jc w:val="center"/>
            </w:pPr>
            <w:r>
              <w:rPr>
                <w:rFonts w:ascii="Arial" w:cs="Arial" w:eastAsia="Arial" w:hAnsi="Arial"/>
                <w:b w:val="false"/>
                <w:bCs w:val="false"/>
                <w:color w:val="555555"/>
                <w:sz w:val="20"/>
                <w:szCs w:val="20"/>
              </w:rPr>
              <w:t xml:space="preserve">public</w:t>
            </w:r>
          </w:p>
        </w:tc>
        <w:tc>
          <w:tcPr>
            <w:tcW w:type="dxa" w:w="240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2C3E50"/>
                <w:sz w:val="20"/>
                <w:szCs w:val="20"/>
              </w:rPr>
              <w:t xml:space="preserve">Paid attribution — install-level channel classification (source of truth for paid/organic)</w:t>
            </w:r>
          </w:p>
        </w:tc>
        <w:tc>
          <w:tcPr>
            <w:tcW w:type="dxa" w:w="140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E65100"/>
                <w:sz w:val="20"/>
                <w:szCs w:val="20"/>
              </w:rPr>
              <w:t xml:space="preserve">Available for Phase 2</w:t>
            </w:r>
          </w:p>
        </w:tc>
        <w:tc>
          <w:tcPr>
            <w:tcW w:type="dxa" w:w="176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777777"/>
                <w:sz w:val="20"/>
                <w:szCs w:val="20"/>
              </w:rPr>
              <w:t xml:space="preserve">Supplements dputmsource proxy</w:t>
            </w:r>
          </w:p>
        </w:tc>
      </w:tr>
      <w:tr>
        <w:tc>
          <w:tcPr>
            <w:tcW w:type="dxa" w:w="260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1565C0"/>
                <w:sz w:val="20"/>
                <w:szCs w:val="20"/>
              </w:rPr>
              <w:t xml:space="preserve">appsflyer_conversions_retargeting_table</w:t>
            </w:r>
          </w:p>
        </w:tc>
        <w:tc>
          <w:tcPr>
            <w:tcW w:type="dxa" w:w="1200"/>
            <w:tcBorders>
              <w:top w:val="single" w:color="D0D0D0" w:sz="1"/>
              <w:left w:val="single" w:color="D0D0D0" w:sz="1"/>
              <w:bottom w:val="single" w:color="D0D0D0" w:sz="1"/>
              <w:right w:val="single" w:color="D0D0D0" w:sz="1"/>
            </w:tcBorders>
            <w:shd w:fill="FFF8E1" w:val="clear"/>
          </w:tcPr>
          <w:p>
            <w:pPr>
              <w:spacing w:after="60" w:before="60"/>
              <w:jc w:val="center"/>
            </w:pPr>
            <w:r>
              <w:rPr>
                <w:rFonts w:ascii="Arial" w:cs="Arial" w:eastAsia="Arial" w:hAnsi="Arial"/>
                <w:b w:val="false"/>
                <w:bCs w:val="false"/>
                <w:color w:val="555555"/>
                <w:sz w:val="20"/>
                <w:szCs w:val="20"/>
              </w:rPr>
              <w:t xml:space="preserve">public</w:t>
            </w:r>
          </w:p>
        </w:tc>
        <w:tc>
          <w:tcPr>
            <w:tcW w:type="dxa" w:w="240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2C3E50"/>
                <w:sz w:val="20"/>
                <w:szCs w:val="20"/>
              </w:rPr>
              <w:t xml:space="preserve">Paid retargeting attribution — re-engagement channel classification</w:t>
            </w:r>
          </w:p>
        </w:tc>
        <w:tc>
          <w:tcPr>
            <w:tcW w:type="dxa" w:w="140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E65100"/>
                <w:sz w:val="20"/>
                <w:szCs w:val="20"/>
              </w:rPr>
              <w:t xml:space="preserve">Available for Phase 2</w:t>
            </w:r>
          </w:p>
        </w:tc>
        <w:tc>
          <w:tcPr>
            <w:tcW w:type="dxa" w:w="176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777777"/>
                <w:sz w:val="20"/>
                <w:szCs w:val="20"/>
              </w:rPr>
              <w:t xml:space="preserve">Re-engagement channel signals</w:t>
            </w:r>
          </w:p>
        </w:tc>
      </w:tr>
      <w:tr>
        <w:tc>
          <w:tcPr>
            <w:tcW w:type="dxa" w:w="260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1565C0"/>
                <w:sz w:val="20"/>
                <w:szCs w:val="20"/>
              </w:rPr>
              <w:t xml:space="preserve">mxp_fatafat_user_membership</w:t>
            </w:r>
          </w:p>
        </w:tc>
        <w:tc>
          <w:tcPr>
            <w:tcW w:type="dxa" w:w="1200"/>
            <w:tcBorders>
              <w:top w:val="single" w:color="D0D0D0" w:sz="1"/>
              <w:left w:val="single" w:color="D0D0D0" w:sz="1"/>
              <w:bottom w:val="single" w:color="D0D0D0" w:sz="1"/>
              <w:right w:val="single" w:color="D0D0D0" w:sz="1"/>
            </w:tcBorders>
            <w:shd w:fill="FFF8E1" w:val="clear"/>
          </w:tcPr>
          <w:p>
            <w:pPr>
              <w:spacing w:after="60" w:before="60"/>
              <w:jc w:val="center"/>
            </w:pPr>
            <w:r>
              <w:rPr>
                <w:rFonts w:ascii="Arial" w:cs="Arial" w:eastAsia="Arial" w:hAnsi="Arial"/>
                <w:b w:val="false"/>
                <w:bCs w:val="false"/>
                <w:color w:val="555555"/>
                <w:sz w:val="20"/>
                <w:szCs w:val="20"/>
              </w:rPr>
              <w:t xml:space="preserve">fatafat</w:t>
            </w:r>
          </w:p>
        </w:tc>
        <w:tc>
          <w:tcPr>
            <w:tcW w:type="dxa" w:w="240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2C3E50"/>
                <w:sz w:val="20"/>
                <w:szCs w:val="20"/>
              </w:rPr>
              <w:t xml:space="preserve">Membership metrics — subscriber behavior profiling and premium access patterns</w:t>
            </w:r>
          </w:p>
        </w:tc>
        <w:tc>
          <w:tcPr>
            <w:tcW w:type="dxa" w:w="140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E65100"/>
                <w:sz w:val="20"/>
                <w:szCs w:val="20"/>
              </w:rPr>
              <w:t xml:space="preserve">Available for Phase 2</w:t>
            </w:r>
          </w:p>
        </w:tc>
        <w:tc>
          <w:tcPr>
            <w:tcW w:type="dxa" w:w="1760"/>
            <w:tcBorders>
              <w:top w:val="single" w:color="D0D0D0" w:sz="1"/>
              <w:left w:val="single" w:color="D0D0D0" w:sz="1"/>
              <w:bottom w:val="single" w:color="D0D0D0" w:sz="1"/>
              <w:right w:val="single" w:color="D0D0D0" w:sz="1"/>
            </w:tcBorders>
            <w:shd w:fill="FFF8E1" w:val="clear"/>
          </w:tcPr>
          <w:p>
            <w:pPr>
              <w:spacing w:after="60" w:before="60"/>
              <w:jc w:val="left"/>
            </w:pPr>
            <w:r>
              <w:rPr>
                <w:rFonts w:ascii="Arial" w:cs="Arial" w:eastAsia="Arial" w:hAnsi="Arial"/>
                <w:b w:val="false"/>
                <w:bCs w:val="false"/>
                <w:color w:val="777777"/>
                <w:sz w:val="20"/>
                <w:szCs w:val="20"/>
              </w:rPr>
              <w:t xml:space="preserve">Monetization dimension</w:t>
            </w:r>
          </w:p>
        </w:tc>
      </w:tr>
    </w:tbl>
    <w:p>
      <w:pPr>
        <w:spacing w:after="0" w:before="120"/>
      </w:pPr>
      <w:r>
        <w:t xml:space="preserve"/>
      </w:r>
    </w:p>
    <w:p>
      <w:pPr>
        <w:pStyle w:val="SubHeading"/>
      </w:pPr>
      <w:r>
        <w:t xml:space="preserve">Methodology Notes</w:t>
      </w:r>
    </w:p>
    <w:p>
      <w:pPr>
        <w:pStyle w:val="ListParagraph"/>
        <w:numPr>
          <w:ilvl w:val="0"/>
          <w:numId w:val="2"/>
        </w:numPr>
      </w:pPr>
      <w:r>
        <w:rPr>
          <w:rFonts w:ascii="Arial" w:cs="Arial" w:eastAsia="Arial" w:hAnsi="Arial"/>
          <w:color w:val="2C3E50"/>
          <w:sz w:val="21"/>
          <w:szCs w:val="21"/>
        </w:rPr>
        <w:t xml:space="preserve">Streamer threshold: 3-second per-stream filter (CAST(playtime AS FLOAT) &gt;= 3000) applied BEFORE GROUP BY. This is the accurate methodology — P0 reports that apply an aggregate threshold overcount by approximately 3% because sessions shorter than 3s may summate to above the threshold.</w:t>
      </w:r>
    </w:p>
    <w:p>
      <w:pPr>
        <w:pStyle w:val="ListParagraph"/>
        <w:numPr>
          <w:ilvl w:val="0"/>
          <w:numId w:val="2"/>
        </w:numPr>
      </w:pPr>
      <w:r>
        <w:rPr>
          <w:rFonts w:ascii="Arial" w:cs="Arial" w:eastAsia="Arial" w:hAnsi="Arial"/>
          <w:color w:val="2C3E50"/>
          <w:sz w:val="21"/>
          <w:szCs w:val="21"/>
        </w:rPr>
        <w:t xml:space="preserve">Base filters: All queries include networkType IS NOT NULL AND internalNetworkStatus &gt; 1 to exclude bot traffic, offline sessions, and invalid network states.</w:t>
      </w:r>
    </w:p>
    <w:p>
      <w:pPr>
        <w:pStyle w:val="ListParagraph"/>
        <w:numPr>
          <w:ilvl w:val="0"/>
          <w:numId w:val="2"/>
        </w:numPr>
      </w:pPr>
      <w:r>
        <w:rPr>
          <w:rFonts w:ascii="Arial" w:cs="Arial" w:eastAsia="Arial" w:hAnsi="Arial"/>
          <w:color w:val="2C3E50"/>
          <w:sz w:val="21"/>
          <w:szCs w:val="21"/>
        </w:rPr>
        <w:t xml:space="preserve">Demographics source: mxp_age_gender_details_table_v3 combines ML-predicted age/gender, Amazon account-linked signals, and MX-sourced signals. The 95% match rate to Fatafat streamers on April 5 confirms near-complete demographic coverage.</w:t>
      </w:r>
    </w:p>
    <w:p>
      <w:pPr>
        <w:pStyle w:val="ListParagraph"/>
        <w:numPr>
          <w:ilvl w:val="0"/>
          <w:numId w:val="2"/>
        </w:numPr>
      </w:pPr>
      <w:r>
        <w:rPr>
          <w:rFonts w:ascii="Arial" w:cs="Arial" w:eastAsia="Arial" w:hAnsi="Arial"/>
          <w:color w:val="2C3E50"/>
          <w:sz w:val="21"/>
          <w:szCs w:val="21"/>
        </w:rPr>
        <w:t xml:space="preserve">Persona source: mxp_persona_details_table_v3 (ML source only, 181M users). The Amazon source (54M users) is available for supplementary analysis but was excluded from Phase 1 queries due to join size constraints.</w:t>
      </w:r>
    </w:p>
    <w:p>
      <w:pPr>
        <w:pStyle w:val="ListParagraph"/>
        <w:numPr>
          <w:ilvl w:val="0"/>
          <w:numId w:val="2"/>
        </w:numPr>
      </w:pPr>
      <w:r>
        <w:rPr>
          <w:rFonts w:ascii="Arial" w:cs="Arial" w:eastAsia="Arial" w:hAnsi="Arial"/>
          <w:color w:val="2C3E50"/>
          <w:sz w:val="21"/>
          <w:szCs w:val="21"/>
        </w:rPr>
        <w:t xml:space="preserve">Channel attribution: dputmsource-based classification is an approximate proxy. Channel categories are not mutually exclusive — a user's session may be attributed to multiple sources within a single day. For precise paid/organic user-level classification, AppsFlyer install and retargeting tables are the source of truth.</w:t>
      </w:r>
    </w:p>
    <w:p>
      <w:pPr>
        <w:pStyle w:val="ListParagraph"/>
        <w:numPr>
          <w:ilvl w:val="0"/>
          <w:numId w:val="2"/>
        </w:numPr>
      </w:pPr>
      <w:r>
        <w:rPr>
          <w:rFonts w:ascii="Arial" w:cs="Arial" w:eastAsia="Arial" w:hAnsi="Arial"/>
          <w:color w:val="2C3E50"/>
          <w:sz w:val="21"/>
          <w:szCs w:val="21"/>
        </w:rPr>
        <w:t xml:space="preserve">Episode ordering: Retention curve analysis (Query 6) uses CAST(episode_number AS INT) from daily_cms_data_table for correct sequential ordering. Lexicographic sort would produce incorrect order (1, 10, 11, 12... instead of 1, 2, 3...).</w:t>
      </w:r>
    </w:p>
    <w:p>
      <w:pPr>
        <w:pStyle w:val="ListParagraph"/>
        <w:numPr>
          <w:ilvl w:val="0"/>
          <w:numId w:val="2"/>
        </w:numPr>
      </w:pPr>
      <w:r>
        <w:rPr>
          <w:rFonts w:ascii="Arial" w:cs="Arial" w:eastAsia="Arial" w:hAnsi="Arial"/>
          <w:color w:val="2C3E50"/>
          <w:sz w:val="21"/>
          <w:szCs w:val="21"/>
        </w:rPr>
        <w:t xml:space="preserve">Multi-show consumption: Single-day snapshot (April 5). Multi-day analysis (7-day rolling window) recommended for Phase 2 to capture cross-day viewing patterns and identify habitual multi-show behavior.</w:t>
      </w:r>
    </w:p>
    <w:p>
      <w:pPr>
        <w:pStyle w:val="ListParagraph"/>
        <w:numPr>
          <w:ilvl w:val="0"/>
          <w:numId w:val="2"/>
        </w:numPr>
      </w:pPr>
      <w:r>
        <w:rPr>
          <w:rFonts w:ascii="Arial" w:cs="Arial" w:eastAsia="Arial" w:hAnsi="Arial"/>
          <w:color w:val="2C3E50"/>
          <w:sz w:val="21"/>
          <w:szCs w:val="21"/>
        </w:rPr>
        <w:t xml:space="preserve">Date range: Core queries (Q1, Q4) use Mar 31 to Apr 6, 2026 for 7-day trend analysis. Point-in-time queries (Q2, Q3, Q5, Q7, Q8) use April 5, 2026 as the primary sample date.</w:t>
      </w:r>
    </w:p>
    <w:p>
      <w:pPr>
        <w:spacing w:after="0" w:before="200"/>
      </w:pPr>
      <w:r>
        <w:t xml:space="preserve"/>
      </w:r>
    </w:p>
    <w:p>
      <w:r>
        <w:br w:type="page"/>
      </w:r>
    </w:p>
    <w:p>
      <w:pPr>
        <w:pStyle w:val="SectionHeading"/>
      </w:pPr>
      <w:r>
        <w:t xml:space="preserve">Phase 2 Readiness Assessment</w:t>
      </w:r>
    </w:p>
    <w:p>
      <w:pPr>
        <w:pStyle w:val="Body"/>
      </w:pPr>
      <w:r>
        <w:t xml:space="preserve">Phase 1 data extraction is complete. The unified behavioral dataset — combining streaming signals, demographics, content preferences, channel behavior, and engagement depth — provides all required inputs for Phase 2 persona construction.</w:t>
      </w:r>
    </w:p>
    <w:p>
      <w:pPr>
        <w:spacing w:after="0" w:before="80"/>
      </w:pPr>
      <w:r>
        <w:t xml:space="preserve"/>
      </w:r>
    </w:p>
    <w:p>
      <w:pPr>
        <w:pStyle w:val="SubHeading"/>
      </w:pPr>
      <w:r>
        <w:t xml:space="preserve">Clustering Dimensions Identified (5 Dimensions)</w:t>
      </w:r>
    </w:p>
    <w:p>
      <w:pPr>
        <w:pStyle w:val="ListParagraph"/>
        <w:numPr>
          <w:ilvl w:val="0"/>
          <w:numId w:val="2"/>
        </w:numPr>
      </w:pPr>
      <w:r>
        <w:rPr>
          <w:rFonts w:ascii="Arial" w:cs="Arial" w:eastAsia="Arial" w:hAnsi="Arial"/>
          <w:color w:val="2C3E50"/>
          <w:sz w:val="21"/>
          <w:szCs w:val="21"/>
        </w:rPr>
        <w:t xml:space="preserve">Demographics: Age group and gender (95% match rate; F18-24 dominant cell at 28.6%)</w:t>
      </w:r>
    </w:p>
    <w:p>
      <w:pPr>
        <w:pStyle w:val="ListParagraph"/>
        <w:numPr>
          <w:ilvl w:val="0"/>
          <w:numId w:val="2"/>
        </w:numPr>
      </w:pPr>
      <w:r>
        <w:rPr>
          <w:rFonts w:ascii="Arial" w:cs="Arial" w:eastAsia="Arial" w:hAnsi="Arial"/>
          <w:color w:val="2C3E50"/>
          <w:sz w:val="21"/>
          <w:szCs w:val="21"/>
        </w:rPr>
        <w:t xml:space="preserve">Content Preference: Show genre alignment and MPC tier (sampling vs. steady vs. binge behavior)</w:t>
      </w:r>
    </w:p>
    <w:p>
      <w:pPr>
        <w:pStyle w:val="ListParagraph"/>
        <w:numPr>
          <w:ilvl w:val="0"/>
          <w:numId w:val="2"/>
        </w:numPr>
      </w:pPr>
      <w:r>
        <w:rPr>
          <w:rFonts w:ascii="Arial" w:cs="Arial" w:eastAsia="Arial" w:hAnsi="Arial"/>
          <w:color w:val="2C3E50"/>
          <w:sz w:val="21"/>
          <w:szCs w:val="21"/>
        </w:rPr>
        <w:t xml:space="preserve">Engagement Depth: Multi-show consumption count and avg minutes (single-show sampler to super fan)</w:t>
      </w:r>
    </w:p>
    <w:p>
      <w:pPr>
        <w:pStyle w:val="ListParagraph"/>
        <w:numPr>
          <w:ilvl w:val="0"/>
          <w:numId w:val="2"/>
        </w:numPr>
      </w:pPr>
      <w:r>
        <w:rPr>
          <w:rFonts w:ascii="Arial" w:cs="Arial" w:eastAsia="Arial" w:hAnsi="Arial"/>
          <w:color w:val="2C3E50"/>
          <w:sz w:val="21"/>
          <w:szCs w:val="21"/>
        </w:rPr>
        <w:t xml:space="preserve">Channel Behavior: Organic vs. paid vs. notification-driven sessions (depth indicator)</w:t>
      </w:r>
    </w:p>
    <w:p>
      <w:pPr>
        <w:pStyle w:val="ListParagraph"/>
        <w:numPr>
          <w:ilvl w:val="0"/>
          <w:numId w:val="2"/>
        </w:numPr>
      </w:pPr>
      <w:r>
        <w:rPr>
          <w:rFonts w:ascii="Arial" w:cs="Arial" w:eastAsia="Arial" w:hAnsi="Arial"/>
          <w:color w:val="2C3E50"/>
          <w:sz w:val="21"/>
          <w:szCs w:val="21"/>
        </w:rPr>
        <w:t xml:space="preserve">Retention Signature: Episode completion depth and lock boundary survival (behavioral commitment)</w:t>
      </w:r>
    </w:p>
    <w:p>
      <w:pPr>
        <w:spacing w:after="0" w:before="100"/>
      </w:pPr>
      <w:r>
        <w:t xml:space="preserve"/>
      </w:r>
    </w:p>
    <w:p>
      <w:pPr>
        <w:pStyle w:val="SubHeading"/>
      </w:pPr>
      <w:r>
        <w:t xml:space="preserve">Recommended Phase 2 Approach</w:t>
      </w:r>
    </w:p>
    <w:p>
      <w:pPr>
        <w:pStyle w:val="ListParagraph"/>
        <w:numPr>
          <w:ilvl w:val="0"/>
          <w:numId w:val="3"/>
        </w:numPr>
      </w:pPr>
      <w:r>
        <w:rPr>
          <w:rFonts w:ascii="Arial" w:cs="Arial" w:eastAsia="Arial" w:hAnsi="Arial"/>
          <w:color w:val="2C3E50"/>
          <w:sz w:val="21"/>
          <w:szCs w:val="21"/>
        </w:rPr>
        <w:t xml:space="preserve">Build user-level feature matrix: For each Fatafat user active in the past 30 days, construct a feature vector across all 5 clustering dimensions using a 30-day rolling window.</w:t>
      </w:r>
    </w:p>
    <w:p>
      <w:pPr>
        <w:pStyle w:val="ListParagraph"/>
        <w:numPr>
          <w:ilvl w:val="0"/>
          <w:numId w:val="3"/>
        </w:numPr>
      </w:pPr>
      <w:r>
        <w:rPr>
          <w:rFonts w:ascii="Arial" w:cs="Arial" w:eastAsia="Arial" w:hAnsi="Arial"/>
          <w:color w:val="2C3E50"/>
          <w:sz w:val="21"/>
          <w:szCs w:val="21"/>
        </w:rPr>
        <w:t xml:space="preserve">Apply clustering algorithm: Run k-means (k=6 as starting point) and hierarchical clustering over the feature matrix. Test k=4 to k=8 to validate optimal segment count.</w:t>
      </w:r>
    </w:p>
    <w:p>
      <w:pPr>
        <w:pStyle w:val="ListParagraph"/>
        <w:numPr>
          <w:ilvl w:val="0"/>
          <w:numId w:val="3"/>
        </w:numPr>
      </w:pPr>
      <w:r>
        <w:rPr>
          <w:rFonts w:ascii="Arial" w:cs="Arial" w:eastAsia="Arial" w:hAnsi="Arial"/>
          <w:color w:val="2C3E50"/>
          <w:sz w:val="21"/>
          <w:szCs w:val="21"/>
        </w:rPr>
        <w:t xml:space="preserve">Validate against hypotheses: Compare cluster outputs against the 6 Phase 1 persona hypotheses. Confirm, merge, or split as the data dictates.</w:t>
      </w:r>
    </w:p>
    <w:p>
      <w:pPr>
        <w:pStyle w:val="ListParagraph"/>
        <w:numPr>
          <w:ilvl w:val="0"/>
          <w:numId w:val="3"/>
        </w:numPr>
      </w:pPr>
      <w:r>
        <w:rPr>
          <w:rFonts w:ascii="Arial" w:cs="Arial" w:eastAsia="Arial" w:hAnsi="Arial"/>
          <w:color w:val="2C3E50"/>
          <w:sz w:val="21"/>
          <w:szCs w:val="21"/>
        </w:rPr>
        <w:t xml:space="preserve">Assign strategic roles: Map validated clusters to Grow/Nourish/Sustain/Convert/Explore strategic roles based on segment size x engagement depth x commercial profile.</w:t>
      </w:r>
    </w:p>
    <w:p>
      <w:pPr>
        <w:pStyle w:val="ListParagraph"/>
        <w:numPr>
          <w:ilvl w:val="0"/>
          <w:numId w:val="3"/>
        </w:numPr>
      </w:pPr>
      <w:r>
        <w:rPr>
          <w:rFonts w:ascii="Arial" w:cs="Arial" w:eastAsia="Arial" w:hAnsi="Arial"/>
          <w:color w:val="2C3E50"/>
          <w:sz w:val="21"/>
          <w:szCs w:val="21"/>
        </w:rPr>
        <w:t xml:space="preserve">Create persona cards: Document each persona with a behavioral fingerprint, content identity, strategic role, commercial profile, retention signature, and channel profile.</w:t>
      </w:r>
    </w:p>
    <w:p>
      <w:pPr>
        <w:spacing w:after="0" w:before="100"/>
      </w:pPr>
      <w:r>
        <w:t xml:space="preserve"/>
      </w:r>
    </w:p>
    <w:p>
      <w:pPr>
        <w:pStyle w:val="SubHeading"/>
      </w:pPr>
      <w:r>
        <w:t xml:space="preserve">Additional Data to Pull in Phase 2</w:t>
      </w:r>
    </w:p>
    <w:p>
      <w:pPr>
        <w:pStyle w:val="ListParagraph"/>
        <w:numPr>
          <w:ilvl w:val="0"/>
          <w:numId w:val="4"/>
        </w:numPr>
      </w:pPr>
      <w:r>
        <w:rPr>
          <w:rFonts w:ascii="Arial" w:cs="Arial" w:eastAsia="Arial" w:hAnsi="Arial"/>
          <w:color w:val="2C3E50"/>
          <w:sz w:val="21"/>
          <w:szCs w:val="21"/>
        </w:rPr>
        <w:t xml:space="preserve">AppsFlyer install and retargeting tables: Precise paid/organic classification at the user level (replaces dputmsource proxy)</w:t>
      </w:r>
    </w:p>
    <w:p>
      <w:pPr>
        <w:pStyle w:val="ListParagraph"/>
        <w:numPr>
          <w:ilvl w:val="0"/>
          <w:numId w:val="4"/>
        </w:numPr>
      </w:pPr>
      <w:r>
        <w:rPr>
          <w:rFonts w:ascii="Arial" w:cs="Arial" w:eastAsia="Arial" w:hAnsi="Arial"/>
          <w:color w:val="2C3E50"/>
          <w:sz w:val="21"/>
          <w:szCs w:val="21"/>
        </w:rPr>
        <w:t xml:space="preserve">mxp_fatafat_player_interaction_v2: Seek behavior, playback speed preferences, and buffering tolerance (engagement quality signals)</w:t>
      </w:r>
    </w:p>
    <w:p>
      <w:pPr>
        <w:pStyle w:val="ListParagraph"/>
        <w:numPr>
          <w:ilvl w:val="0"/>
          <w:numId w:val="4"/>
        </w:numPr>
      </w:pPr>
      <w:r>
        <w:rPr>
          <w:rFonts w:ascii="Arial" w:cs="Arial" w:eastAsia="Arial" w:hAnsi="Arial"/>
          <w:color w:val="2C3E50"/>
          <w:sz w:val="21"/>
          <w:szCs w:val="21"/>
        </w:rPr>
        <w:t xml:space="preserve">mxp_fatafat_user_membership: Subscriber vs. free tier behavior and premium content access patterns</w:t>
      </w:r>
    </w:p>
    <w:p>
      <w:pPr>
        <w:pStyle w:val="ListParagraph"/>
        <w:numPr>
          <w:ilvl w:val="0"/>
          <w:numId w:val="4"/>
        </w:numPr>
      </w:pPr>
      <w:r>
        <w:rPr>
          <w:rFonts w:ascii="Arial" w:cs="Arial" w:eastAsia="Arial" w:hAnsi="Arial"/>
          <w:color w:val="2C3E50"/>
          <w:sz w:val="21"/>
          <w:szCs w:val="21"/>
        </w:rPr>
        <w:t xml:space="preserve">7-day rolling multi-show consumption: Cross-day viewing patterns to capture habitual vs. sporadic multi-show behavior</w:t>
      </w:r>
    </w:p>
    <w:p>
      <w:pPr>
        <w:pStyle w:val="ListParagraph"/>
        <w:numPr>
          <w:ilvl w:val="0"/>
          <w:numId w:val="4"/>
        </w:numPr>
      </w:pPr>
      <w:r>
        <w:rPr>
          <w:rFonts w:ascii="Arial" w:cs="Arial" w:eastAsia="Arial" w:hAnsi="Arial"/>
          <w:color w:val="2C3E50"/>
          <w:sz w:val="21"/>
          <w:szCs w:val="21"/>
        </w:rPr>
        <w:t xml:space="preserve">Genre-level content clustering: Map all Fatafat shows to genre clusters using CMS metadata for content affinity scoring per user</w:t>
      </w:r>
    </w:p>
    <w:p>
      <w:pPr>
        <w:spacing w:after="0" w:before="1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6"/>
              <w:left w:val="single" w:color="00897B" w:sz="14"/>
              <w:bottom w:val="single" w:color="DDDDDD" w:sz="2"/>
              <w:right w:val="single" w:color="DDDDDD" w:sz="1"/>
            </w:tcBorders>
            <w:shd w:fill="EEF6F4" w:val="clear"/>
          </w:tcPr>
          <w:p>
            <w:pPr>
              <w:spacing w:after="60" w:before="100"/>
            </w:pPr>
            <w:r>
              <w:rPr>
                <w:rFonts w:ascii="Arial" w:cs="Arial" w:eastAsia="Arial" w:hAnsi="Arial"/>
                <w:b/>
                <w:bCs/>
                <w:caps/>
                <w:color w:val="00897B"/>
                <w:sz w:val="19"/>
                <w:szCs w:val="19"/>
              </w:rPr>
              <w:t xml:space="preserve">PHASE 2 TIMELINE</w:t>
            </w:r>
          </w:p>
          <w:p>
            <w:pPr>
              <w:spacing w:after="100" w:before="40"/>
            </w:pPr>
            <w:r>
              <w:rPr>
                <w:rFonts w:ascii="Arial" w:cs="Arial" w:eastAsia="Arial" w:hAnsi="Arial"/>
                <w:color w:val="333333"/>
                <w:sz w:val="21"/>
                <w:szCs w:val="21"/>
              </w:rPr>
              <w:t xml:space="preserve">Recommended Phase 2 execution: 2-3 weeks. Week 1: Build user-level feature matrix and run initial cluster analysis. Week 2: Validate clusters, assign strategic roles, and draft persona cards. Week 3: Review and finalize persona set with stakeholder sign-off.</w:t>
            </w:r>
          </w:p>
        </w:tc>
      </w:tr>
    </w:tbl>
    <w:p>
      <w:pPr>
        <w:spacing w:after="0" w:before="200"/>
      </w:pPr>
      <w:r>
        <w:t xml:space="preserve"/>
      </w:r>
    </w:p>
    <w:p>
      <w:r>
        <w:br w:type="page"/>
      </w:r>
    </w:p>
    <w:p>
      <w:pPr>
        <w:pStyle w:val="SectionHeading"/>
      </w:pPr>
      <w:r>
        <w:t xml:space="preserve">Query Log — Phase 1 Execution Record</w:t>
      </w:r>
    </w:p>
    <w:p>
      <w:pPr>
        <w:pStyle w:val="Body"/>
      </w:pPr>
      <w:r>
        <w:t xml:space="preserve">All 8 queries were executed on April 6, 2026 against AMXP-BI-MCP-PROD Redshift. Below is the complete execution record.</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1600"/>
        <w:gridCol w:w="1600"/>
        <w:gridCol w:w="3400"/>
      </w:tblGrid>
      <w:tr>
        <w:trPr>
          <w:tblHeader/>
        </w:trPr>
        <w:tc>
          <w:tcPr>
            <w:tcW w:type="dxa" w:w="3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w:t>
            </w:r>
          </w:p>
        </w:tc>
        <w:tc>
          <w:tcPr>
            <w:tcW w:type="dxa" w:w="20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Query Name</w:t>
            </w:r>
          </w:p>
        </w:tc>
        <w:tc>
          <w:tcPr>
            <w:tcW w:type="dxa" w:w="16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Date Run</w:t>
            </w:r>
          </w:p>
        </w:tc>
        <w:tc>
          <w:tcPr>
            <w:tcW w:type="dxa" w:w="16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Data Period</w:t>
            </w:r>
          </w:p>
        </w:tc>
        <w:tc>
          <w:tcPr>
            <w:tcW w:type="dxa" w:w="34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Key Result</w:t>
            </w:r>
          </w:p>
        </w:tc>
      </w:tr>
      <w:tr>
        <w:tc>
          <w:tcPr>
            <w:tcW w:type="dxa" w:w="36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bCs/>
                <w:color w:val="00897B"/>
                <w:sz w:val="20"/>
                <w:szCs w:val="20"/>
              </w:rPr>
              <w:t xml:space="preserve">Q1</w:t>
            </w:r>
          </w:p>
        </w:tc>
        <w:tc>
          <w:tcPr>
            <w:tcW w:type="dxa" w:w="20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Baseline Streaming Snapshot</w:t>
            </w:r>
          </w:p>
        </w:tc>
        <w:tc>
          <w:tcPr>
            <w:tcW w:type="dxa" w:w="16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Apr 6</w:t>
            </w:r>
          </w:p>
        </w:tc>
        <w:tc>
          <w:tcPr>
            <w:tcW w:type="dxa" w:w="16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Mar 31 - Apr 6</w:t>
            </w:r>
          </w:p>
        </w:tc>
        <w:tc>
          <w:tcPr>
            <w:tcW w:type="dxa" w:w="34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337K-410K daily streamers; 22-25 min MPC; Saturday peak 409,753</w:t>
            </w:r>
          </w:p>
        </w:tc>
      </w:tr>
      <w:tr>
        <w:tc>
          <w:tcPr>
            <w:tcW w:type="dxa" w:w="36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bCs/>
                <w:color w:val="00897B"/>
                <w:sz w:val="20"/>
                <w:szCs w:val="20"/>
              </w:rPr>
              <w:t xml:space="preserve">Q2</w:t>
            </w:r>
          </w:p>
        </w:tc>
        <w:tc>
          <w:tcPr>
            <w:tcW w:type="dxa" w:w="20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Demographics Breakdown</w:t>
            </w:r>
          </w:p>
        </w:tc>
        <w:tc>
          <w:tcPr>
            <w:tcW w:type="dxa" w:w="16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Apr 6</w:t>
            </w:r>
          </w:p>
        </w:tc>
        <w:tc>
          <w:tcPr>
            <w:tcW w:type="dxa" w:w="16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Apr 5</w:t>
            </w:r>
          </w:p>
        </w:tc>
        <w:tc>
          <w:tcPr>
            <w:tcW w:type="dxa" w:w="34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F18-24 dominant (28.6%); 95% match rate; gender flip at 25-34</w:t>
            </w:r>
          </w:p>
        </w:tc>
      </w:tr>
      <w:tr>
        <w:tc>
          <w:tcPr>
            <w:tcW w:type="dxa" w:w="36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bCs/>
                <w:color w:val="00897B"/>
                <w:sz w:val="20"/>
                <w:szCs w:val="20"/>
              </w:rPr>
              <w:t xml:space="preserve">Q3</w:t>
            </w:r>
          </w:p>
        </w:tc>
        <w:tc>
          <w:tcPr>
            <w:tcW w:type="dxa" w:w="20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Interest/Persona Segments</w:t>
            </w:r>
          </w:p>
        </w:tc>
        <w:tc>
          <w:tcPr>
            <w:tcW w:type="dxa" w:w="16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Apr 6</w:t>
            </w:r>
          </w:p>
        </w:tc>
        <w:tc>
          <w:tcPr>
            <w:tcW w:type="dxa" w:w="16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Apr 5</w:t>
            </w:r>
          </w:p>
        </w:tc>
        <w:tc>
          <w:tcPr>
            <w:tcW w:type="dxa" w:w="34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Broad ML tags (70-76% coverage each); needs clustering approach</w:t>
            </w:r>
          </w:p>
        </w:tc>
      </w:tr>
      <w:tr>
        <w:tc>
          <w:tcPr>
            <w:tcW w:type="dxa" w:w="36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bCs/>
                <w:color w:val="00897B"/>
                <w:sz w:val="20"/>
                <w:szCs w:val="20"/>
              </w:rPr>
              <w:t xml:space="preserve">Q4</w:t>
            </w:r>
          </w:p>
        </w:tc>
        <w:tc>
          <w:tcPr>
            <w:tcW w:type="dxa" w:w="20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Top 20 Shows by Streamers</w:t>
            </w:r>
          </w:p>
        </w:tc>
        <w:tc>
          <w:tcPr>
            <w:tcW w:type="dxa" w:w="16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Apr 6</w:t>
            </w:r>
          </w:p>
        </w:tc>
        <w:tc>
          <w:tcPr>
            <w:tcW w:type="dxa" w:w="16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Mar 31 - Apr 6</w:t>
            </w:r>
          </w:p>
        </w:tc>
        <w:tc>
          <w:tcPr>
            <w:tcW w:type="dxa" w:w="34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3 consumption patterns: sampling (&lt;15 MPC), steady (15-30), binge (30+)</w:t>
            </w:r>
          </w:p>
        </w:tc>
      </w:tr>
      <w:tr>
        <w:tc>
          <w:tcPr>
            <w:tcW w:type="dxa" w:w="36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bCs/>
                <w:color w:val="00897B"/>
                <w:sz w:val="20"/>
                <w:szCs w:val="20"/>
              </w:rPr>
              <w:t xml:space="preserve">Q5</w:t>
            </w:r>
          </w:p>
        </w:tc>
        <w:tc>
          <w:tcPr>
            <w:tcW w:type="dxa" w:w="20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Channel Distribution</w:t>
            </w:r>
          </w:p>
        </w:tc>
        <w:tc>
          <w:tcPr>
            <w:tcW w:type="dxa" w:w="16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Apr 6</w:t>
            </w:r>
          </w:p>
        </w:tc>
        <w:tc>
          <w:tcPr>
            <w:tcW w:type="dxa" w:w="1600"/>
            <w:tcBorders>
              <w:top w:val="single" w:color="D0D0D0" w:sz="1"/>
              <w:left w:val="single" w:color="D0D0D0" w:sz="1"/>
              <w:bottom w:val="single" w:color="D0D0D0" w:sz="1"/>
              <w:right w:val="single" w:color="D0D0D0" w:sz="1"/>
            </w:tcBorders>
            <w:shd w:fill="F1FAF9" w:val="clear"/>
          </w:tcPr>
          <w:p>
            <w:pPr>
              <w:spacing w:after="60" w:before="60"/>
              <w:jc w:val="center"/>
            </w:pPr>
            <w:r>
              <w:rPr>
                <w:rFonts w:ascii="Arial" w:cs="Arial" w:eastAsia="Arial" w:hAnsi="Arial"/>
                <w:b w:val="false"/>
                <w:bCs w:val="false"/>
                <w:color w:val="2C3E50"/>
                <w:sz w:val="20"/>
                <w:szCs w:val="20"/>
              </w:rPr>
              <w:t xml:space="preserve">Apr 5</w:t>
            </w:r>
          </w:p>
        </w:tc>
        <w:tc>
          <w:tcPr>
            <w:tcW w:type="dxa" w:w="3400"/>
            <w:tcBorders>
              <w:top w:val="single" w:color="D0D0D0" w:sz="1"/>
              <w:left w:val="single" w:color="D0D0D0" w:sz="1"/>
              <w:bottom w:val="single" w:color="D0D0D0" w:sz="1"/>
              <w:right w:val="single" w:color="D0D0D0" w:sz="1"/>
            </w:tcBorders>
            <w:shd w:fill="F1FAF9" w:val="clear"/>
          </w:tcPr>
          <w:p>
            <w:pPr>
              <w:spacing w:after="60" w:before="60"/>
              <w:jc w:val="left"/>
            </w:pPr>
            <w:r>
              <w:rPr>
                <w:rFonts w:ascii="Arial" w:cs="Arial" w:eastAsia="Arial" w:hAnsi="Arial"/>
                <w:b w:val="false"/>
                <w:bCs w:val="false"/>
                <w:color w:val="2C3E50"/>
                <w:sz w:val="20"/>
                <w:szCs w:val="20"/>
              </w:rPr>
              <w:t xml:space="preserve">Paid = 49% reach / 25% watchtime; Organic = 39% reach / 73% watchtime</w:t>
            </w:r>
          </w:p>
        </w:tc>
      </w:tr>
      <w:tr>
        <w:tc>
          <w:tcPr>
            <w:tcW w:type="dxa" w:w="36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C2185B"/>
                <w:sz w:val="20"/>
                <w:szCs w:val="20"/>
              </w:rPr>
              <w:t xml:space="preserve">S1</w:t>
            </w:r>
          </w:p>
        </w:tc>
        <w:tc>
          <w:tcPr>
            <w:tcW w:type="dxa" w:w="20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Episode Retention Curve</w:t>
            </w:r>
          </w:p>
        </w:tc>
        <w:tc>
          <w:tcPr>
            <w:tcW w:type="dxa" w:w="16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Apr 6</w:t>
            </w:r>
          </w:p>
        </w:tc>
        <w:tc>
          <w:tcPr>
            <w:tcW w:type="dxa" w:w="16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Mar 31 - Apr 5</w:t>
            </w:r>
          </w:p>
        </w:tc>
        <w:tc>
          <w:tcPr>
            <w:tcW w:type="dxa" w:w="34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4 retention phases; 65% Ep1 drop; 35.6% cliff at 1st lock boundary</w:t>
            </w:r>
          </w:p>
        </w:tc>
      </w:tr>
      <w:tr>
        <w:tc>
          <w:tcPr>
            <w:tcW w:type="dxa" w:w="36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C2185B"/>
                <w:sz w:val="20"/>
                <w:szCs w:val="20"/>
              </w:rPr>
              <w:t xml:space="preserve">S2</w:t>
            </w:r>
          </w:p>
        </w:tc>
        <w:tc>
          <w:tcPr>
            <w:tcW w:type="dxa" w:w="20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Multi-Show Consumption</w:t>
            </w:r>
          </w:p>
        </w:tc>
        <w:tc>
          <w:tcPr>
            <w:tcW w:type="dxa" w:w="16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Apr 6</w:t>
            </w:r>
          </w:p>
        </w:tc>
        <w:tc>
          <w:tcPr>
            <w:tcW w:type="dxa" w:w="16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Apr 5</w:t>
            </w:r>
          </w:p>
        </w:tc>
        <w:tc>
          <w:tcPr>
            <w:tcW w:type="dxa" w:w="34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76.9% single-show; 1 to 2 show jump = 5.5x watchtime increase</w:t>
            </w:r>
          </w:p>
        </w:tc>
      </w:tr>
      <w:tr>
        <w:tc>
          <w:tcPr>
            <w:tcW w:type="dxa" w:w="36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bCs/>
                <w:color w:val="C2185B"/>
                <w:sz w:val="20"/>
                <w:szCs w:val="20"/>
              </w:rPr>
              <w:t xml:space="preserve">S3</w:t>
            </w:r>
          </w:p>
        </w:tc>
        <w:tc>
          <w:tcPr>
            <w:tcW w:type="dxa" w:w="20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Demographics x Top 5 Shows</w:t>
            </w:r>
          </w:p>
        </w:tc>
        <w:tc>
          <w:tcPr>
            <w:tcW w:type="dxa" w:w="16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Apr 6</w:t>
            </w:r>
          </w:p>
        </w:tc>
        <w:tc>
          <w:tcPr>
            <w:tcW w:type="dxa" w:w="1600"/>
            <w:tcBorders>
              <w:top w:val="single" w:color="D0D0D0" w:sz="1"/>
              <w:left w:val="single" w:color="D0D0D0" w:sz="1"/>
              <w:bottom w:val="single" w:color="D0D0D0" w:sz="1"/>
              <w:right w:val="single" w:color="D0D0D0" w:sz="1"/>
            </w:tcBorders>
            <w:shd w:fill="FFF5F7" w:val="clear"/>
          </w:tcPr>
          <w:p>
            <w:pPr>
              <w:spacing w:after="60" w:before="60"/>
              <w:jc w:val="center"/>
            </w:pPr>
            <w:r>
              <w:rPr>
                <w:rFonts w:ascii="Arial" w:cs="Arial" w:eastAsia="Arial" w:hAnsi="Arial"/>
                <w:b w:val="false"/>
                <w:bCs w:val="false"/>
                <w:color w:val="2C3E50"/>
                <w:sz w:val="20"/>
                <w:szCs w:val="20"/>
              </w:rPr>
              <w:t xml:space="preserve">Apr 5</w:t>
            </w:r>
          </w:p>
        </w:tc>
        <w:tc>
          <w:tcPr>
            <w:tcW w:type="dxa" w:w="34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Shows have distinct demo profiles; Ocean Of Stars = 75.3% female</w:t>
            </w:r>
          </w:p>
        </w:tc>
      </w:tr>
    </w:tbl>
    <w:p>
      <w:pPr>
        <w:spacing w:after="0" w:before="200"/>
      </w:pPr>
      <w:r>
        <w:t xml:space="preserve"/>
      </w:r>
    </w:p>
    <w:p>
      <w:r>
        <w:br w:type="page"/>
      </w:r>
    </w:p>
    <w:p>
      <w:pPr>
        <w:pStyle w:val="SectionHeading"/>
      </w:pPr>
      <w:r>
        <w:t xml:space="preserve">Glossary of Terms</w:t>
      </w:r>
    </w:p>
    <w:p>
      <w:pPr>
        <w:spacing w:after="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Term</w:t>
            </w:r>
          </w:p>
        </w:tc>
        <w:tc>
          <w:tcPr>
            <w:tcW w:type="dxa" w:w="71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Definition</w:t>
            </w:r>
          </w:p>
        </w:tc>
      </w:tr>
      <w:tr>
        <w:tc>
          <w:tcPr>
            <w:tcW w:type="dxa" w:w="22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bCs/>
                <w:color w:val="1565C0"/>
                <w:sz w:val="20"/>
                <w:szCs w:val="20"/>
              </w:rPr>
              <w:t xml:space="preserve">3s Streamer</w:t>
            </w:r>
          </w:p>
        </w:tc>
        <w:tc>
          <w:tcPr>
            <w:tcW w:type="dxa" w:w="71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A user counted as having streamed if at least one individual streaming session exceeded 3 seconds of playback. The per-stream filter is applied before aggregation for accuracy.</w:t>
            </w:r>
          </w:p>
        </w:tc>
      </w:tr>
      <w:tr>
        <w:tc>
          <w:tcPr>
            <w:tcW w:type="dxa" w:w="2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bCs/>
                <w:color w:val="1565C0"/>
                <w:sz w:val="20"/>
                <w:szCs w:val="20"/>
              </w:rPr>
              <w:t xml:space="preserve">MPC (Minutes Per Consumer)</w:t>
            </w:r>
          </w:p>
        </w:tc>
        <w:tc>
          <w:tcPr>
            <w:tcW w:type="dxa" w:w="71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Total watchtime in minutes divided by unique 3-second streamers for a given period. The primary depth engagement metric on Fatafat.</w:t>
            </w:r>
          </w:p>
        </w:tc>
      </w:tr>
      <w:tr>
        <w:tc>
          <w:tcPr>
            <w:tcW w:type="dxa" w:w="22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bCs/>
                <w:color w:val="1565C0"/>
                <w:sz w:val="20"/>
                <w:szCs w:val="20"/>
              </w:rPr>
              <w:t xml:space="preserve">Lock Boundary</w:t>
            </w:r>
          </w:p>
        </w:tc>
        <w:tc>
          <w:tcPr>
            <w:tcW w:type="dxa" w:w="71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A progressive episode gate in Fatafat's content model. After completing the final episode of a free tier (e.g., Ep5), users must watch a 20-second ad or complete a specific interaction to unlock the next tier of episodes.</w:t>
            </w:r>
          </w:p>
        </w:tc>
      </w:tr>
      <w:tr>
        <w:tc>
          <w:tcPr>
            <w:tcW w:type="dxa" w:w="2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bCs/>
                <w:color w:val="1565C0"/>
                <w:sz w:val="20"/>
                <w:szCs w:val="20"/>
              </w:rPr>
              <w:t xml:space="preserve">Retention Curve</w:t>
            </w:r>
          </w:p>
        </w:tc>
        <w:tc>
          <w:tcPr>
            <w:tcW w:type="dxa" w:w="71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An episode-by-episode view of unique streamers across a show's full episode run, expressing the percentage of the Ep1 audience that persists to each subsequent episode.</w:t>
            </w:r>
          </w:p>
        </w:tc>
      </w:tr>
      <w:tr>
        <w:tc>
          <w:tcPr>
            <w:tcW w:type="dxa" w:w="22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bCs/>
                <w:color w:val="1565C0"/>
                <w:sz w:val="20"/>
                <w:szCs w:val="20"/>
              </w:rPr>
              <w:t xml:space="preserve">Discovery Phase</w:t>
            </w:r>
          </w:p>
        </w:tc>
        <w:tc>
          <w:tcPr>
            <w:tcW w:type="dxa" w:w="71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The first 1-5 episodes of a show where the majority of casual viewers are filtered out through organic drop-off.</w:t>
            </w:r>
          </w:p>
        </w:tc>
      </w:tr>
      <w:tr>
        <w:tc>
          <w:tcPr>
            <w:tcW w:type="dxa" w:w="2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bCs/>
                <w:color w:val="1565C0"/>
                <w:sz w:val="20"/>
                <w:szCs w:val="20"/>
              </w:rPr>
              <w:t xml:space="preserve">dputmsource</w:t>
            </w:r>
          </w:p>
        </w:tc>
        <w:tc>
          <w:tcPr>
            <w:tcW w:type="dxa" w:w="71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A session-level field in mxp_fatafat_player_engagement that captures the acquisition or re-engagement source of the session (e.g., organic, paid campaign tag, push notification). Not mutually exclusive across sessions.</w:t>
            </w:r>
          </w:p>
        </w:tc>
      </w:tr>
      <w:tr>
        <w:tc>
          <w:tcPr>
            <w:tcW w:type="dxa" w:w="22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bCs/>
                <w:color w:val="1565C0"/>
                <w:sz w:val="20"/>
                <w:szCs w:val="20"/>
              </w:rPr>
              <w:t xml:space="preserve">For You Feed</w:t>
            </w:r>
          </w:p>
        </w:tc>
        <w:tc>
          <w:tcPr>
            <w:tcW w:type="dxa" w:w="71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The primary content discovery surface on Fatafat — a personalized, algorithmically ranked feed of micro-drama episodes served to users upon opening the app.</w:t>
            </w:r>
          </w:p>
        </w:tc>
      </w:tr>
      <w:tr>
        <w:tc>
          <w:tcPr>
            <w:tcW w:type="dxa" w:w="2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bCs/>
                <w:color w:val="1565C0"/>
                <w:sz w:val="20"/>
                <w:szCs w:val="20"/>
              </w:rPr>
              <w:t xml:space="preserve">Grow/Nourish/Sustain</w:t>
            </w:r>
          </w:p>
        </w:tc>
        <w:tc>
          <w:tcPr>
            <w:tcW w:type="dxa" w:w="71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The Fatafat audience strategic framework. Grow = largest segments requiring scale investment; Nourish = engaged mid-tier requiring content depth; Sustain = stable loyal segments requiring retention protection.</w:t>
            </w:r>
          </w:p>
        </w:tc>
      </w:tr>
      <w:tr>
        <w:tc>
          <w:tcPr>
            <w:tcW w:type="dxa" w:w="22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bCs/>
                <w:color w:val="1565C0"/>
                <w:sz w:val="20"/>
                <w:szCs w:val="20"/>
              </w:rPr>
              <w:t xml:space="preserve">Persona Hypothesis</w:t>
            </w:r>
          </w:p>
        </w:tc>
        <w:tc>
          <w:tcPr>
            <w:tcW w:type="dxa" w:w="71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A data-anchored but not yet statistically validated audience archetype. Phase 1 produces hypotheses; Phase 2 (clustering) produces validated personas.</w:t>
            </w:r>
          </w:p>
        </w:tc>
      </w:tr>
      <w:tr>
        <w:tc>
          <w:tcPr>
            <w:tcW w:type="dxa" w:w="2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bCs/>
                <w:color w:val="1565C0"/>
                <w:sz w:val="20"/>
                <w:szCs w:val="20"/>
              </w:rPr>
              <w:t xml:space="preserve">ML Persona Tags</w:t>
            </w:r>
          </w:p>
        </w:tc>
        <w:tc>
          <w:tcPr>
            <w:tcW w:type="dxa" w:w="71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Interest and intent tags assigned to users by ML models based on browsing, purchase, and behavioral signals across the Amazon MX Player ecosystem. Stored in mxp_persona_details_table_v3.</w:t>
            </w:r>
          </w:p>
        </w:tc>
      </w:tr>
      <w:tr>
        <w:tc>
          <w:tcPr>
            <w:tcW w:type="dxa" w:w="22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bCs/>
                <w:color w:val="1565C0"/>
                <w:sz w:val="20"/>
                <w:szCs w:val="20"/>
              </w:rPr>
              <w:t xml:space="preserve">Feature Matrix</w:t>
            </w:r>
          </w:p>
        </w:tc>
        <w:tc>
          <w:tcPr>
            <w:tcW w:type="dxa" w:w="71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A user-level data structure combining multiple behavioral dimensions (demographics, content preference, engagement depth, channel behavior, retention signature) used as input for clustering algorithms in Phase 2.</w:t>
            </w:r>
          </w:p>
        </w:tc>
      </w:tr>
      <w:tr>
        <w:tc>
          <w:tcPr>
            <w:tcW w:type="dxa" w:w="2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bCs/>
                <w:color w:val="1565C0"/>
                <w:sz w:val="20"/>
                <w:szCs w:val="20"/>
              </w:rPr>
              <w:t xml:space="preserve">Finale Curiosity</w:t>
            </w:r>
          </w:p>
        </w:tc>
        <w:tc>
          <w:tcPr>
            <w:tcW w:type="dxa" w:w="71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The observed behavior of viewers who drop out mid-series but return specifically to watch the final episode, producing a spike in Ep80 streamers above the late-series baseline.</w:t>
            </w:r>
          </w:p>
        </w:tc>
      </w:tr>
      <w:tr>
        <w:tc>
          <w:tcPr>
            <w:tcW w:type="dxa" w:w="220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bCs/>
                <w:color w:val="1565C0"/>
                <w:sz w:val="20"/>
                <w:szCs w:val="20"/>
              </w:rPr>
              <w:t xml:space="preserve">Fatafat</w:t>
            </w:r>
          </w:p>
        </w:tc>
        <w:tc>
          <w:tcPr>
            <w:tcW w:type="dxa" w:w="7160"/>
            <w:tcBorders>
              <w:top w:val="single" w:color="D0D0D0" w:sz="1"/>
              <w:left w:val="single" w:color="D0D0D0" w:sz="1"/>
              <w:bottom w:val="single" w:color="D0D0D0" w:sz="1"/>
              <w:right w:val="single" w:color="D0D0D0" w:sz="1"/>
            </w:tcBorders>
            <w:shd w:fill="F8F8F8" w:val="clear"/>
          </w:tcPr>
          <w:p>
            <w:pPr>
              <w:spacing w:after="60" w:before="60"/>
              <w:jc w:val="left"/>
            </w:pPr>
            <w:r>
              <w:rPr>
                <w:rFonts w:ascii="Arial" w:cs="Arial" w:eastAsia="Arial" w:hAnsi="Arial"/>
                <w:b w:val="false"/>
                <w:bCs w:val="false"/>
                <w:color w:val="2C3E50"/>
                <w:sz w:val="20"/>
                <w:szCs w:val="20"/>
              </w:rPr>
              <w:t xml:space="preserve">Amazon MX Player's micro-drama vertical — a platform for bite-sized episodic drama content (60-90 second episodes) characterized by high-frequency consumption, progressive episode locks, and romance-dominant content.</w:t>
            </w:r>
          </w:p>
        </w:tc>
      </w:tr>
    </w:tbl>
    <w:p>
      <w:pPr>
        <w:spacing w:after="0" w:before="200"/>
      </w:pPr>
      <w:r>
        <w:t xml:space="preserve"/>
      </w:r>
    </w:p>
    <w:p>
      <w:r>
        <w:br w:type="page"/>
      </w:r>
    </w:p>
    <w:p>
      <w:pPr>
        <w:pStyle w:val="SectionHeading"/>
      </w:pPr>
      <w:r>
        <w:t xml:space="preserve">Industry Benchmarks &amp; Context</w:t>
      </w:r>
    </w:p>
    <w:p>
      <w:pPr>
        <w:pStyle w:val="Body"/>
      </w:pPr>
      <w:r>
        <w:t xml:space="preserve">The Synthetic Personas project is positioned within a broader industry shift toward predictive, AI-powered audience intelligence in streaming. The following benchmarks from the external research document provide context for Phase 1 findings and validate the strategic direction of the project.</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Source</w:t>
            </w:r>
          </w:p>
        </w:tc>
        <w:tc>
          <w:tcPr>
            <w:tcW w:type="dxa" w:w="22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Benchmark</w:t>
            </w:r>
          </w:p>
        </w:tc>
        <w:tc>
          <w:tcPr>
            <w:tcW w:type="dxa" w:w="260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Approach</w:t>
            </w:r>
          </w:p>
        </w:tc>
        <w:tc>
          <w:tcPr>
            <w:tcW w:type="dxa" w:w="2560"/>
            <w:tcBorders>
              <w:top w:val="single" w:color="D0D0D0" w:sz="1"/>
              <w:left w:val="single" w:color="D0D0D0" w:sz="1"/>
              <w:bottom w:val="single" w:color="D0D0D0" w:sz="1"/>
              <w:right w:val="single" w:color="D0D0D0" w:sz="1"/>
            </w:tcBorders>
            <w:shd w:fill="880E4F" w:val="clear"/>
            <w:vAlign w:val="center"/>
          </w:tcPr>
          <w:p>
            <w:pPr>
              <w:spacing w:after="80" w:before="80"/>
              <w:jc w:val="center"/>
            </w:pPr>
            <w:r>
              <w:rPr>
                <w:rFonts w:ascii="Arial" w:cs="Arial" w:eastAsia="Arial" w:hAnsi="Arial"/>
                <w:b/>
                <w:bCs/>
                <w:color w:val="FFFFFF"/>
                <w:sz w:val="20"/>
                <w:szCs w:val="20"/>
              </w:rPr>
              <w:t xml:space="preserve">Relevance to Phase 1</w:t>
            </w:r>
          </w:p>
        </w:tc>
      </w:tr>
      <w:tr>
        <w:tc>
          <w:tcPr>
            <w:tcW w:type="dxa" w:w="20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bCs/>
                <w:color w:val="C2185B"/>
                <w:sz w:val="20"/>
                <w:szCs w:val="20"/>
              </w:rPr>
              <w:t xml:space="preserve">Cinelytic</w:t>
            </w:r>
          </w:p>
        </w:tc>
        <w:tc>
          <w:tcPr>
            <w:tcW w:type="dxa" w:w="22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00897B"/>
                <w:sz w:val="20"/>
                <w:szCs w:val="20"/>
              </w:rPr>
              <w:t xml:space="preserve">85% pre-production forecasting accuracy</w:t>
            </w:r>
          </w:p>
        </w:tc>
        <w:tc>
          <w:tcPr>
            <w:tcW w:type="dxa" w:w="26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AI-driven content prediction before production decisions</w:t>
            </w:r>
          </w:p>
        </w:tc>
        <w:tc>
          <w:tcPr>
            <w:tcW w:type="dxa" w:w="256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555555"/>
                <w:sz w:val="20"/>
                <w:szCs w:val="20"/>
              </w:rPr>
              <w:t xml:space="preserve">Validates the viability of AI persona models for pre-launch content scoring (Phase 3 of this project)</w:t>
            </w:r>
          </w:p>
        </w:tc>
      </w:tr>
      <w:tr>
        <w:tc>
          <w:tcPr>
            <w:tcW w:type="dxa" w:w="20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bCs/>
                <w:color w:val="C2185B"/>
                <w:sz w:val="20"/>
                <w:szCs w:val="20"/>
              </w:rPr>
              <w:t xml:space="preserve">Disney's Audience Graph</w:t>
            </w:r>
          </w:p>
        </w:tc>
        <w:tc>
          <w:tcPr>
            <w:tcW w:type="dxa" w:w="2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00897B"/>
                <w:sz w:val="20"/>
                <w:szCs w:val="20"/>
              </w:rPr>
              <w:t xml:space="preserve">Cross-platform identity stitching at scale</w:t>
            </w:r>
          </w:p>
        </w:tc>
        <w:tc>
          <w:tcPr>
            <w:tcW w:type="dxa" w:w="26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Links streaming behavior to consumer identity across Disney+ and Hulu</w:t>
            </w:r>
          </w:p>
        </w:tc>
        <w:tc>
          <w:tcPr>
            <w:tcW w:type="dxa" w:w="25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555555"/>
                <w:sz w:val="20"/>
                <w:szCs w:val="20"/>
              </w:rPr>
              <w:t xml:space="preserve">Analogous to our mxp_age_gender + mxp_persona join architecture — confirms the approach</w:t>
            </w:r>
          </w:p>
        </w:tc>
      </w:tr>
      <w:tr>
        <w:tc>
          <w:tcPr>
            <w:tcW w:type="dxa" w:w="20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bCs/>
                <w:color w:val="C2185B"/>
                <w:sz w:val="20"/>
                <w:szCs w:val="20"/>
              </w:rPr>
              <w:t xml:space="preserve">Netflix's Ads Suite</w:t>
            </w:r>
          </w:p>
        </w:tc>
        <w:tc>
          <w:tcPr>
            <w:tcW w:type="dxa" w:w="22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00897B"/>
                <w:sz w:val="20"/>
                <w:szCs w:val="20"/>
              </w:rPr>
              <w:t xml:space="preserve">Audience segment-based ad targeting</w:t>
            </w:r>
          </w:p>
        </w:tc>
        <w:tc>
          <w:tcPr>
            <w:tcW w:type="dxa" w:w="26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Behavioral cohort-based ad targeting using viewing patterns as segments</w:t>
            </w:r>
          </w:p>
        </w:tc>
        <w:tc>
          <w:tcPr>
            <w:tcW w:type="dxa" w:w="256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555555"/>
                <w:sz w:val="20"/>
                <w:szCs w:val="20"/>
              </w:rPr>
              <w:t xml:space="preserve">Mirrors the commercial profile dimension of persona construction — ad targeting by behavioral persona, not just demographics</w:t>
            </w:r>
          </w:p>
        </w:tc>
      </w:tr>
      <w:tr>
        <w:tc>
          <w:tcPr>
            <w:tcW w:type="dxa" w:w="20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bCs/>
                <w:color w:val="C2185B"/>
                <w:sz w:val="20"/>
                <w:szCs w:val="20"/>
              </w:rPr>
              <w:t xml:space="preserve">Parrot Analytics' Demand Sensing</w:t>
            </w:r>
          </w:p>
        </w:tc>
        <w:tc>
          <w:tcPr>
            <w:tcW w:type="dxa" w:w="22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00897B"/>
                <w:sz w:val="20"/>
                <w:szCs w:val="20"/>
              </w:rPr>
              <w:t xml:space="preserve">Multi-signal content demand measurement</w:t>
            </w:r>
          </w:p>
        </w:tc>
        <w:tc>
          <w:tcPr>
            <w:tcW w:type="dxa" w:w="260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2C3E50"/>
                <w:sz w:val="20"/>
                <w:szCs w:val="20"/>
              </w:rPr>
              <w:t xml:space="preserve">Aggregates social, streaming, and search signals for content demand forecasting</w:t>
            </w:r>
          </w:p>
        </w:tc>
        <w:tc>
          <w:tcPr>
            <w:tcW w:type="dxa" w:w="2560"/>
            <w:tcBorders>
              <w:top w:val="single" w:color="D0D0D0" w:sz="1"/>
              <w:left w:val="single" w:color="D0D0D0" w:sz="1"/>
              <w:bottom w:val="single" w:color="D0D0D0" w:sz="1"/>
              <w:right w:val="single" w:color="D0D0D0" w:sz="1"/>
            </w:tcBorders>
            <w:shd w:fill="FFFFFF" w:val="clear"/>
          </w:tcPr>
          <w:p>
            <w:pPr>
              <w:spacing w:after="60" w:before="60"/>
              <w:jc w:val="left"/>
            </w:pPr>
            <w:r>
              <w:rPr>
                <w:rFonts w:ascii="Arial" w:cs="Arial" w:eastAsia="Arial" w:hAnsi="Arial"/>
                <w:b w:val="false"/>
                <w:bCs w:val="false"/>
                <w:color w:val="555555"/>
                <w:sz w:val="20"/>
                <w:szCs w:val="20"/>
              </w:rPr>
              <w:t xml:space="preserve">Phase 3 (AI Simulation Engine) analog — our equivalent uses internal behavioral signals at higher granularity</w:t>
            </w:r>
          </w:p>
        </w:tc>
      </w:tr>
      <w:tr>
        <w:tc>
          <w:tcPr>
            <w:tcW w:type="dxa" w:w="20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bCs/>
                <w:color w:val="C2185B"/>
                <w:sz w:val="20"/>
                <w:szCs w:val="20"/>
              </w:rPr>
              <w:t xml:space="preserve">AMXP Synthetic Personas Target</w:t>
            </w:r>
          </w:p>
        </w:tc>
        <w:tc>
          <w:tcPr>
            <w:tcW w:type="dxa" w:w="22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00897B"/>
                <w:sz w:val="20"/>
                <w:szCs w:val="20"/>
              </w:rPr>
              <w:t xml:space="preserve">~75% audience coverage by 5-6 personas</w:t>
            </w:r>
          </w:p>
        </w:tc>
        <w:tc>
          <w:tcPr>
            <w:tcW w:type="dxa" w:w="260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2C3E50"/>
                <w:sz w:val="20"/>
                <w:szCs w:val="20"/>
              </w:rPr>
              <w:t xml:space="preserve">Internal project target from Synthetic Personas v2.docx</w:t>
            </w:r>
          </w:p>
        </w:tc>
        <w:tc>
          <w:tcPr>
            <w:tcW w:type="dxa" w:w="2560"/>
            <w:tcBorders>
              <w:top w:val="single" w:color="D0D0D0" w:sz="1"/>
              <w:left w:val="single" w:color="D0D0D0" w:sz="1"/>
              <w:bottom w:val="single" w:color="D0D0D0" w:sz="1"/>
              <w:right w:val="single" w:color="D0D0D0" w:sz="1"/>
            </w:tcBorders>
            <w:shd w:fill="FFF5F7" w:val="clear"/>
          </w:tcPr>
          <w:p>
            <w:pPr>
              <w:spacing w:after="60" w:before="60"/>
              <w:jc w:val="left"/>
            </w:pPr>
            <w:r>
              <w:rPr>
                <w:rFonts w:ascii="Arial" w:cs="Arial" w:eastAsia="Arial" w:hAnsi="Arial"/>
                <w:b w:val="false"/>
                <w:bCs w:val="false"/>
                <w:color w:val="555555"/>
                <w:sz w:val="20"/>
                <w:szCs w:val="20"/>
              </w:rPr>
              <w:t xml:space="preserve">Phase 1 data confirms feasibility: 6 hypothetical personas already cover identifiable segments across the full streaming audience</w:t>
            </w:r>
          </w:p>
        </w:tc>
      </w:tr>
    </w:tbl>
    <w:p>
      <w:pPr>
        <w:spacing w:after="0" w:before="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none"/>
              <w:bottom w:val="single" w:color="DDDDDD" w:sz="4"/>
              <w:right w:val="none"/>
            </w:tcBorders>
            <w:shd w:fill="FAFAFA" w:val="clear"/>
          </w:tcPr>
          <w:p>
            <w:pPr>
              <w:spacing w:after="40" w:before="100"/>
              <w:jc w:val="center"/>
            </w:pPr>
            <w:r>
              <w:rPr>
                <w:rFonts w:ascii="Arial" w:cs="Arial" w:eastAsia="Arial" w:hAnsi="Arial"/>
                <w:b/>
                <w:bCs/>
                <w:color w:val="C2185B"/>
                <w:sz w:val="20"/>
                <w:szCs w:val="20"/>
              </w:rPr>
              <w:t xml:space="preserve">Synthetic Personas — Phase 1: Data Foundation Report</w:t>
            </w:r>
          </w:p>
          <w:p>
            <w:pPr>
              <w:spacing w:after="40" w:before="40"/>
              <w:jc w:val="center"/>
            </w:pPr>
            <w:r>
              <w:rPr>
                <w:rFonts w:ascii="Arial" w:cs="Arial" w:eastAsia="Arial" w:hAnsi="Arial"/>
                <w:color w:val="888888"/>
                <w:sz w:val="18"/>
                <w:szCs w:val="18"/>
              </w:rPr>
              <w:t xml:space="preserve">Amazon MX Player | Fatafat Micro-Drama Vertical</w:t>
            </w:r>
          </w:p>
          <w:p>
            <w:pPr>
              <w:spacing w:after="100" w:before="40"/>
              <w:jc w:val="center"/>
            </w:pPr>
            <w:r>
              <w:rPr>
                <w:rFonts w:ascii="Arial" w:cs="Arial" w:eastAsia="Arial" w:hAnsi="Arial"/>
                <w:color w:val="AAAAAA"/>
                <w:sz w:val="16"/>
                <w:szCs w:val="16"/>
              </w:rPr>
              <w:t xml:space="preserve">Generated: April 6, 2026  |  Data Source: AMXP-BI-MCP-PROD Redshift  |  CONFIDENTIAL</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pBdr>
      <w:spacing w:after="0" w:before="120"/>
      <w:jc w:val="center"/>
    </w:pPr>
    <w:r>
      <w:rPr>
        <w:rFonts w:ascii="Arial" w:cs="Arial" w:eastAsia="Arial" w:hAnsi="Arial"/>
        <w:color w:val="AAAAAA"/>
        <w:sz w:val="16"/>
        <w:szCs w:val="16"/>
      </w:rPr>
      <w:t xml:space="preserve">CONFIDENTIAL — INTERNAL USE ONLY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pBdr>
      <w:spacing w:after="120" w:before="0"/>
      <w:jc w:val="right"/>
    </w:pPr>
    <w:r>
      <w:rPr>
        <w:rFonts w:ascii="Arial" w:cs="Arial" w:eastAsia="Arial" w:hAnsi="Arial"/>
        <w:color w:val="AAAAAA"/>
        <w:sz w:val="16"/>
        <w:szCs w:val="16"/>
      </w:rPr>
      <w:t xml:space="preserve">AMAZON MX PLAYER  |  FATAFAT  |  SYNTHETIC PERSONAS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270"/>
      </w:pPr>
      <w:rPr>
        <w:b/>
        <w:bCs/>
        <w:color w:val="C2185B"/>
      </w:rPr>
    </w:lvl>
  </w:abstractNum>
  <w:abstractNum w:abstractNumId="3" w15:restartNumberingAfterBreak="0">
    <w:multiLevelType w:val="hybridMultilevel"/>
    <w:lvl w:ilvl="0" w15:tentative="1">
      <w:start w:val="1"/>
      <w:numFmt w:val="bullet"/>
      <w:lvlText w:val="▸"/>
      <w:lvlJc w:val="left"/>
      <w:pPr>
        <w:spacing w:after="80"/>
        <w:ind w:left="540" w:hanging="270"/>
      </w:pPr>
      <w:rPr>
        <w:b/>
        <w:bCs/>
        <w:color w:val="00897B"/>
      </w:r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verTitle">
    <w:name w:val="Cover Title"/>
    <w:basedOn w:val="Normal"/>
    <w:qFormat/>
    <w:pPr>
      <w:spacing w:after="80" w:before="100"/>
      <w:jc w:val="left"/>
    </w:pPr>
    <w:rPr>
      <w:b/>
      <w:bCs/>
      <w:color w:val="FFFFFF"/>
      <w:sz w:val="52"/>
      <w:szCs w:val="52"/>
    </w:rPr>
  </w:style>
  <w:style w:type="paragraph" w:styleId="CoverSub">
    <w:name w:val="Cover Sub"/>
    <w:basedOn w:val="Normal"/>
    <w:qFormat/>
    <w:pPr>
      <w:spacing w:after="60" w:before="60"/>
      <w:jc w:val="left"/>
    </w:pPr>
    <w:rPr>
      <w:b w:val="false"/>
      <w:bCs w:val="false"/>
      <w:color w:val="FFCDD2"/>
      <w:sz w:val="26"/>
      <w:szCs w:val="26"/>
    </w:rPr>
  </w:style>
  <w:style w:type="paragraph" w:styleId="CoverMeta">
    <w:name w:val="Cover Meta"/>
    <w:basedOn w:val="Normal"/>
    <w:qFormat/>
    <w:pPr>
      <w:spacing w:after="40" w:before="40"/>
      <w:jc w:val="left"/>
    </w:pPr>
    <w:rPr>
      <w:color w:val="E0E0E0"/>
      <w:sz w:val="20"/>
      <w:szCs w:val="20"/>
    </w:rPr>
  </w:style>
  <w:style w:type="paragraph" w:styleId="SectionHeading">
    <w:name w:val="Section Heading"/>
    <w:basedOn w:val="Normal"/>
    <w:qFormat/>
    <w:pPr>
      <w:pBdr>
        <w:bottom w:val="single" w:color="C2185B" w:sz="4"/>
      </w:pBdr>
      <w:spacing w:after="160" w:before="360"/>
      <w:outlineLvl w:val="0"/>
    </w:pPr>
    <w:rPr>
      <w:b/>
      <w:bCs/>
      <w:color w:val="C2185B"/>
      <w:sz w:val="32"/>
      <w:szCs w:val="32"/>
    </w:rPr>
  </w:style>
  <w:style w:type="paragraph" w:styleId="SubHeading">
    <w:name w:val="Sub Heading"/>
    <w:basedOn w:val="Normal"/>
    <w:qFormat/>
    <w:pPr>
      <w:spacing w:after="100" w:before="240"/>
      <w:outlineLvl w:val="1"/>
    </w:pPr>
    <w:rPr>
      <w:b/>
      <w:bCs/>
      <w:color w:val="1A1A2E"/>
      <w:sz w:val="24"/>
      <w:szCs w:val="24"/>
    </w:rPr>
  </w:style>
  <w:style w:type="paragraph" w:styleId="Body">
    <w:name w:val="Body"/>
    <w:basedOn w:val="Normal"/>
    <w:qFormat/>
    <w:pPr>
      <w:spacing w:after="160" w:line="288"/>
    </w:pPr>
    <w:rPr>
      <w:color w:val="2C3E50"/>
      <w:sz w:val="22"/>
      <w:szCs w:val="22"/>
    </w:rPr>
  </w:style>
  <w:style w:type="paragraph" w:styleId="FindingText">
    <w:name w:val="Finding Text"/>
    <w:basedOn w:val="Normal"/>
    <w:qFormat/>
    <w:pPr>
      <w:spacing w:after="120" w:line="276"/>
    </w:pPr>
    <w:rPr>
      <w:color w:val="333333"/>
      <w:sz w:val="21"/>
      <w:szCs w:val="21"/>
    </w:rPr>
  </w:style>
  <w:style w:type="paragraph" w:styleId="Caption">
    <w:name w:val="Caption"/>
    <w:basedOn w:val="Normal"/>
    <w:qFormat/>
    <w:pPr>
      <w:spacing w:after="200" w:before="80"/>
      <w:jc w:val="center"/>
    </w:pPr>
    <w:rPr>
      <w:i/>
      <w:iCs/>
      <w:color w:val="666666"/>
      <w:sz w:val="18"/>
      <w:szCs w:val="18"/>
    </w:rPr>
  </w:style>
  <w:style w:type="paragraph" w:styleId="Callout">
    <w:name w:val="Callout"/>
    <w:basedOn w:val="Normal"/>
    <w:qFormat/>
    <w:pPr>
      <w:spacing w:after="100" w:before="100"/>
      <w:jc w:val="center"/>
    </w:pPr>
    <w:rPr>
      <w:b/>
      <w:bCs/>
      <w:color w:val="C218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f8d5e67f000267ad97e83219e8d056a7032bf3.png"/><Relationship Id="rId10" Type="http://schemas.openxmlformats.org/officeDocument/2006/relationships/image" Target="media/a89f5c9b3e3069fbf455387c6acc4a43beb1076a.png"/><Relationship Id="rId11" Type="http://schemas.openxmlformats.org/officeDocument/2006/relationships/image" Target="media/430d857c0c6528bad993b066bcdaa1ec33840936.png"/><Relationship Id="rId12" Type="http://schemas.openxmlformats.org/officeDocument/2006/relationships/image" Target="media/bfd7aba11b7871f7a20cb65185b9dc2e7a56498c.png"/><Relationship Id="rId13" Type="http://schemas.openxmlformats.org/officeDocument/2006/relationships/image" Target="media/e8ff385af1e266a129bd8c30a7d34e07943e7a71.png"/><Relationship Id="rId14" Type="http://schemas.openxmlformats.org/officeDocument/2006/relationships/image" Target="media/c148668d609ef575029b36ced2d134fbc19db139.png"/><Relationship Id="rId15" Type="http://schemas.openxmlformats.org/officeDocument/2006/relationships/image" Target="media/fa99667ff5fb9f38a7a18b582cc191aa4efc6baa.png"/><Relationship Id="rId16" Type="http://schemas.openxmlformats.org/officeDocument/2006/relationships/image" Target="media/2016ee8425c15244812696ce346ffcfe7761db9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2026-04-06T14:18:21.626Z</dcterms:created>
  <dcterms:modified xsi:type="dcterms:W3CDTF">2026-04-06T14:18:21.631Z</dcterms:modified>
</cp:coreProperties>
</file>

<file path=docProps/custom.xml><?xml version="1.0" encoding="utf-8"?>
<Properties xmlns="http://schemas.openxmlformats.org/officeDocument/2006/custom-properties" xmlns:vt="http://schemas.openxmlformats.org/officeDocument/2006/docPropsVTypes"/>
</file>