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86233">
      <w:pPr>
        <w:spacing w:line="348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32"/>
        </w:rPr>
        <w:t>原型系统建设方案</w:t>
      </w:r>
    </w:p>
    <w:p w14:paraId="0A74F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8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经讨论并结合导师意见，现已确定采用</w:t>
      </w:r>
      <w:r>
        <w:rPr>
          <w:rFonts w:hint="eastAsia" w:ascii="宋体" w:hAnsi="宋体" w:eastAsia="宋体" w:cs="宋体"/>
          <w:b/>
          <w:color w:val="3357F1"/>
        </w:rPr>
        <w:t>全自主设计与搭建</w:t>
      </w:r>
      <w:r>
        <w:rPr>
          <w:rFonts w:hint="eastAsia" w:ascii="宋体" w:hAnsi="宋体" w:eastAsia="宋体" w:cs="宋体"/>
          <w:b w:val="0"/>
        </w:rPr>
        <w:t>路线开展原型系统建设。系统以“</w:t>
      </w:r>
      <w:r>
        <w:rPr>
          <w:rFonts w:hint="eastAsia" w:ascii="宋体" w:hAnsi="宋体" w:eastAsia="宋体" w:cs="宋体"/>
          <w:b/>
          <w:color w:val="3357F1"/>
        </w:rPr>
        <w:t>先形成可运行原型、再逐步完善功能</w:t>
      </w:r>
      <w:r>
        <w:rPr>
          <w:rFonts w:hint="eastAsia" w:ascii="宋体" w:hAnsi="宋体" w:eastAsia="宋体" w:cs="宋体"/>
          <w:b w:val="0"/>
        </w:rPr>
        <w:t>”为总体原则，在保留后续扩展能力的前提下，通过版本迭代降低首期集成复杂度。V1版本计划用1个半月完成最小可运行原型，优先保证玉米基本生长、核心设备控制和软件链路跑通</w:t>
      </w:r>
      <w:r>
        <w:rPr>
          <w:rFonts w:hint="eastAsia" w:ascii="宋体" w:hAnsi="宋体" w:eastAsia="宋体" w:cs="宋体"/>
          <w:b w:val="0"/>
          <w:lang w:eastAsia="zh-CN"/>
        </w:rPr>
        <w:t>，</w:t>
      </w:r>
      <w:r>
        <w:rPr>
          <w:rFonts w:hint="eastAsia" w:ascii="宋体" w:hAnsi="宋体" w:eastAsia="宋体" w:cs="宋体"/>
          <w:b/>
          <w:color w:val="3357F1"/>
          <w:lang w:eastAsia="zh-CN"/>
        </w:rPr>
        <w:t>尽快形成可稳定运行的原型</w:t>
      </w:r>
      <w:r>
        <w:rPr>
          <w:rFonts w:hint="eastAsia" w:ascii="宋体" w:hAnsi="宋体" w:eastAsia="宋体" w:cs="宋体"/>
          <w:b w:val="0"/>
        </w:rPr>
        <w:t>；V2版本在此基础上用1个月补齐感知</w:t>
      </w:r>
      <w:r>
        <w:rPr>
          <w:rFonts w:hint="eastAsia" w:ascii="宋体" w:hAnsi="宋体" w:eastAsia="宋体" w:cs="宋体"/>
          <w:b w:val="0"/>
          <w:lang w:val="en-US" w:eastAsia="zh-CN"/>
        </w:rPr>
        <w:t>和</w:t>
      </w:r>
      <w:r>
        <w:rPr>
          <w:rFonts w:hint="eastAsia" w:ascii="宋体" w:hAnsi="宋体" w:eastAsia="宋体" w:cs="宋体"/>
          <w:b w:val="0"/>
        </w:rPr>
        <w:t>自动化能力，形成较完整的科研原型系统。</w:t>
      </w:r>
    </w:p>
    <w:p w14:paraId="4050DC8A">
      <w:pPr>
        <w:pStyle w:val="3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一、总体方案</w:t>
      </w:r>
    </w:p>
    <w:p w14:paraId="14B83862">
      <w:pPr>
        <w:pStyle w:val="4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1.1 总体设计思路</w:t>
      </w:r>
    </w:p>
    <w:p w14:paraId="64BF0D1E">
      <w:pPr>
        <w:spacing w:line="348" w:lineRule="auto"/>
        <w:ind w:firstLine="420" w:firstLineChars="20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原型系统采用铝合金型材构建独立承载框架，围绕玉米水培实验及未来植物研究需求进行自主设计。为避免功能划分过细，本方案将科研功能归并为四类核心模块：</w:t>
      </w:r>
      <w:r>
        <w:rPr>
          <w:rFonts w:hint="eastAsia" w:ascii="宋体" w:hAnsi="宋体" w:eastAsia="宋体" w:cs="宋体"/>
          <w:b/>
          <w:color w:val="3357F1"/>
          <w:sz w:val="21"/>
          <w:szCs w:val="21"/>
        </w:rPr>
        <w:t>①光环境与光调控模块</w:t>
      </w:r>
      <w:r>
        <w:rPr>
          <w:rFonts w:hint="eastAsia" w:ascii="宋体" w:hAnsi="宋体" w:eastAsia="宋体" w:cs="宋体"/>
          <w:b w:val="0"/>
          <w:sz w:val="21"/>
          <w:szCs w:val="21"/>
        </w:rPr>
        <w:t>、</w:t>
      </w:r>
      <w:r>
        <w:rPr>
          <w:rFonts w:hint="eastAsia" w:ascii="宋体" w:hAnsi="宋体" w:eastAsia="宋体" w:cs="宋体"/>
          <w:b/>
          <w:color w:val="3357F1"/>
          <w:sz w:val="21"/>
          <w:szCs w:val="21"/>
        </w:rPr>
        <w:t>②多模态感知模块</w:t>
      </w:r>
      <w:r>
        <w:rPr>
          <w:rFonts w:hint="eastAsia" w:ascii="宋体" w:hAnsi="宋体" w:eastAsia="宋体" w:cs="宋体"/>
          <w:b w:val="0"/>
          <w:sz w:val="21"/>
          <w:szCs w:val="21"/>
        </w:rPr>
        <w:t>、</w:t>
      </w:r>
      <w:r>
        <w:rPr>
          <w:rFonts w:hint="eastAsia" w:ascii="宋体" w:hAnsi="宋体" w:eastAsia="宋体" w:cs="宋体"/>
          <w:b/>
          <w:color w:val="3357F1"/>
          <w:sz w:val="21"/>
          <w:szCs w:val="21"/>
        </w:rPr>
        <w:t>③数据分析与可视化模块</w:t>
      </w:r>
      <w:r>
        <w:rPr>
          <w:rFonts w:hint="eastAsia" w:ascii="宋体" w:hAnsi="宋体" w:eastAsia="宋体" w:cs="宋体"/>
          <w:b w:val="0"/>
          <w:sz w:val="21"/>
          <w:szCs w:val="21"/>
        </w:rPr>
        <w:t>和</w:t>
      </w:r>
      <w:r>
        <w:rPr>
          <w:rFonts w:hint="eastAsia" w:ascii="宋体" w:hAnsi="宋体" w:eastAsia="宋体" w:cs="宋体"/>
          <w:b/>
          <w:color w:val="3357F1"/>
          <w:sz w:val="21"/>
          <w:szCs w:val="21"/>
        </w:rPr>
        <w:t>④控制执行模块</w:t>
      </w:r>
      <w:r>
        <w:rPr>
          <w:rFonts w:hint="eastAsia" w:ascii="宋体" w:hAnsi="宋体" w:eastAsia="宋体" w:cs="宋体"/>
          <w:b w:val="0"/>
          <w:sz w:val="21"/>
          <w:szCs w:val="21"/>
        </w:rPr>
        <w:t>。主体框架、种植槽及安装结构作为系统基础支撑，不再单独作为科研功能模块。四类模块均采用相对独立、接口可扩展的设计方式，为V2阶段继续增加传感器、相机、水质监测及自动控制功能预留安装、电气和通信接口。总体结构保持图1所示方案。</w:t>
      </w:r>
    </w:p>
    <w:p w14:paraId="1A116BF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89320" cy="2774950"/>
            <wp:effectExtent l="0" t="0" r="508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2B37">
      <w:pPr>
        <w:pStyle w:val="166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图1  自主设计与搭建原型系统结构示意图</w:t>
      </w:r>
    </w:p>
    <w:p w14:paraId="0939F315">
      <w:pPr>
        <w:spacing w:line="348" w:lineRule="auto"/>
        <w:ind w:firstLine="420" w:firstLineChars="200"/>
        <w:jc w:val="both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在实施层面，本系统遵循“</w:t>
      </w:r>
      <w:r>
        <w:rPr>
          <w:rFonts w:hint="eastAsia" w:ascii="宋体" w:hAnsi="宋体" w:eastAsia="宋体" w:cs="宋体"/>
          <w:b/>
          <w:color w:val="3357F1"/>
          <w:sz w:val="21"/>
          <w:szCs w:val="21"/>
        </w:rPr>
        <w:t>最小可运行原型优先、接口先行、分阶段迭代</w:t>
      </w:r>
      <w:r>
        <w:rPr>
          <w:rFonts w:hint="eastAsia" w:ascii="宋体" w:hAnsi="宋体" w:eastAsia="宋体" w:cs="宋体"/>
          <w:b w:val="0"/>
          <w:sz w:val="21"/>
          <w:szCs w:val="21"/>
        </w:rPr>
        <w:t>”的建设原则。首个版本（V1）不以一次性实现全部科研功能为目标，而是在1个半月内优先完成支撑作物基本生长和系统展示所必需的光环境、基础水培、风机、控制箱及数据分析与可视化软件链路，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尽快形成可稳定运行的原型；</w:t>
      </w:r>
      <w:r>
        <w:rPr>
          <w:rFonts w:hint="eastAsia" w:ascii="宋体" w:hAnsi="宋体" w:eastAsia="宋体" w:cs="宋体"/>
          <w:b w:val="0"/>
          <w:sz w:val="21"/>
          <w:szCs w:val="21"/>
        </w:rPr>
        <w:t>对于暂不影响基本生长的环境/表型感知、水质监测、自动水肥循环及完整数据分析功能，在V1阶段仅预留结构、电气、通信和软件接口。在V1稳定运行的基础上，再通过约1个月的V2迭代补齐上述功能，最终形成感知、分析与调控能力完整的科研原型系统。</w:t>
      </w:r>
    </w:p>
    <w:p w14:paraId="0833590E">
      <w:pPr>
        <w:pStyle w:val="166"/>
        <w:jc w:val="both"/>
        <w:rPr>
          <w:rFonts w:hint="eastAsia" w:ascii="宋体" w:hAnsi="宋体" w:eastAsia="宋体" w:cs="宋体"/>
        </w:rPr>
      </w:pPr>
    </w:p>
    <w:p w14:paraId="5709219A">
      <w:pPr>
        <w:pStyle w:val="4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1.2 核心功能模块划分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01003FF1">
        <w:trPr>
          <w:jc w:val="center"/>
        </w:trPr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5449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功能模块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596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主要功能定位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66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主要设备/组成</w:t>
            </w:r>
          </w:p>
        </w:tc>
      </w:tr>
      <w:tr w14:paraId="73EF8FF0">
        <w:trPr>
          <w:jc w:val="center"/>
        </w:trPr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DCE4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① 光环境与光调控模块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lang w:val="en-US" w:eastAsia="zh-CN"/>
              </w:rPr>
              <w:t xml:space="preserve">       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lang w:val="en-US" w:eastAsia="zh-CN"/>
              </w:rPr>
              <w:t>(未来植物核心)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B94A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围绕未来植物光环境构建，完成光源输出、光环境表征及遮光/补光调节。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D8F3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多通道LED、遮光结构及驱动机构；V2接入光量子传感器、小型光谱仪等。</w:t>
            </w:r>
          </w:p>
        </w:tc>
      </w:tr>
      <w:tr w14:paraId="4C154EF8">
        <w:trPr>
          <w:jc w:val="center"/>
        </w:trPr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E622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② 多模态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</w:rPr>
              <w:t>感知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模块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C8AEF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感知植物所处环境及植物自身表型，形成后续分析和调控的数据基础。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61F1F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环境感知：温湿度、CO₂、风速及营养液环境；植物表型感知：多视角RGB相机。</w:t>
            </w:r>
          </w:p>
        </w:tc>
      </w:tr>
      <w:tr w14:paraId="573BE217">
        <w:trPr>
          <w:jc w:val="center"/>
        </w:trPr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1D086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③ 数据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</w:rPr>
              <w:t>分析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与可视化模块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F4FC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汇聚系统运行、环境和植物数据，完成数据管理、分析和可视化展示。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5DDC8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树莓派/边缘计算主机、数据服务程序、分析界面及显示大屏；V2扩展能耗数据与多源数据分析。</w:t>
            </w:r>
          </w:p>
        </w:tc>
      </w:tr>
      <w:tr w14:paraId="460C16C2">
        <w:trPr>
          <w:jc w:val="center"/>
        </w:trPr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483D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④ 控制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</w:rPr>
              <w:t>执行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模块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007E1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接收控制策略并驱动设备动作，承担系统运行与水肥、通风等执行功能。</w:t>
            </w:r>
          </w:p>
        </w:tc>
        <w:tc>
          <w:tcPr>
            <w:tcW w:w="3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54308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</w:rPr>
              <w:t>控制箱、继电器/驱动接口、循环风机、供液/水泵装置及后续自动水肥循环执行机构。</w:t>
            </w:r>
          </w:p>
        </w:tc>
      </w:tr>
    </w:tbl>
    <w:p w14:paraId="78A55634">
      <w:pPr>
        <w:pStyle w:val="3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二、系统结构与设备配置</w:t>
      </w:r>
    </w:p>
    <w:p w14:paraId="56771227">
      <w:pPr>
        <w:pStyle w:val="4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2.1 基础支撑与种植单元</w:t>
      </w:r>
    </w:p>
    <w:p w14:paraId="46CC77D1">
      <w:pPr>
        <w:spacing w:line="348" w:lineRule="auto"/>
        <w:ind w:firstLine="42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础支撑部分包括铝合金主体框架、顶部横梁、设备安装立柱、重载万向脚轮、可调支撑脚以及3×3玉米水培种植区。该部分承担承载、空间定位和设备安装功能，同时在立柱、横梁、控制箱及底部区域预留标准化安装位、走线空间和水路接口，以避免V2扩展时重新改造主体结构。</w:t>
      </w:r>
    </w:p>
    <w:p w14:paraId="0BE8CBCC">
      <w:pPr>
        <w:pStyle w:val="4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 设备配置、参考价格及版本归属</w:t>
      </w:r>
    </w:p>
    <w:tbl>
      <w:tblPr>
        <w:tblStyle w:val="32"/>
        <w:tblW w:w="1123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  <w:gridCol w:w="1605"/>
      </w:tblGrid>
      <w:tr w14:paraId="17C1DF0F">
        <w:trPr>
          <w:cantSplit/>
          <w:tblHeader/>
          <w:jc w:val="center"/>
        </w:trPr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0094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bookmarkStart w:id="0" w:name="_GoBack" w:colFirst="3" w:colLast="3"/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0D78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主要组成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AE66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购买链接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5096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价格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单设备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984F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图例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08FC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版本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8F6BA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价格（模块）</w:t>
            </w:r>
          </w:p>
        </w:tc>
      </w:tr>
      <w:tr w14:paraId="7337C612">
        <w:trPr>
          <w:cantSplit/>
          <w:jc w:val="center"/>
        </w:trPr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67D04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基础支撑与种植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4DB0F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完成主体承载、设备安装及3×3玉米基础水培种植，为各功能模块提供统一安装与运行基础。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E53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"https://tao.hooos.com/goods_J54AAYDQtRtqNON0p3zcXNGUvta-DokRR8Ipez3e0B2T6.html?utm_source=chatgpt.com"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铝合金钢材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  <w:p w14:paraId="3319E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预计(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18"/>
                <w:szCs w:val="18"/>
                <w:lang w:val="en-US" w:eastAsia="zh-CN"/>
              </w:rPr>
              <w:t>40m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4D83B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1000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9DD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drawing>
                <wp:inline distT="0" distB="0" distL="114300" distR="114300">
                  <wp:extent cx="876935" cy="850900"/>
                  <wp:effectExtent l="0" t="0" r="12065" b="12700"/>
                  <wp:docPr id="2" name="图片 2" descr="705e89ab-cc04-4af7-80e7-af25c5fee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05e89ab-cc04-4af7-80e7-af25c5fee6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935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3AC99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3BB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1550</w:t>
            </w:r>
          </w:p>
        </w:tc>
      </w:tr>
      <w:tr w14:paraId="02B53FD0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FD863E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83D9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4F8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"https://item.taobao.com/item.htm?ali_refid=a3_430582_1006%3A1345710015%3AH%3An7lVD2q9bvvKK9MaS23pvoaW6XAj4Ex%2B%3A1ff69ec83e3faa1117a8c58577e029aa&amp;ali_trackid=282_1ff69ec83e3faa1117a8c58577e029aa&amp;id=718736367192&amp;mi_id=00008stNVtIv1mvdhvKffGl4YUi5R3hc1jQx8t"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6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角码角件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（若干）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05817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200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F32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1060450" cy="940435"/>
                  <wp:effectExtent l="0" t="0" r="6350" b="2476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94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CBAC2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0F715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65AEE0DC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30E34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76F2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28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737088565264&amp;mi_id=0000fgrdze89WCUTNOVVMBKDiiZRA0vXDsYbwTAGuzeWyMk&amp;ns=1&amp;priceTId=214783c317870465684908772e0e45&amp;skuId=5263531723127&amp;spm=a21n57.1.hoverItem.2&amp;utparam=%7B%22aplus_abtest%22%3A%226c23eaaea7142340b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万向轮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(4个)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08FF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200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0D3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901700" cy="857250"/>
                  <wp:effectExtent l="0" t="0" r="12700" b="6350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00225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7FD87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7F2327EB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36F8A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722F4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70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649569914692&amp;mi_id=0000aHQi0PtIhE5tfLir3KzdC8AR4fMWdGCcTsW501vYkI4&amp;ns=1&amp;priceTId=2147869a17870491021682286e1d96&amp;spm=a21n57.1.hoverItem.24&amp;utparam=%7B%22aplus_abtest%22%3A%22fe5a22efe7ab4640a210efdcb9ee014f%22%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种植槽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（1）</w:t>
            </w:r>
          </w:p>
          <w:p w14:paraId="26C746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PVC定制开孔板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19F82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定制</w:t>
            </w:r>
          </w:p>
          <w:p w14:paraId="5761162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（150）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283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998855" cy="909955"/>
                  <wp:effectExtent l="0" t="0" r="17145" b="4445"/>
                  <wp:docPr id="3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55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ED40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E6F3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65441C90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0FA602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FE357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4E26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营养液</w:t>
            </w:r>
          </w:p>
          <w:p w14:paraId="37EC4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（刘磊老师方已提供配方）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2B5CE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已提供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218E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C62B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8AAB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5D2B6E53">
        <w:trPr>
          <w:cantSplit/>
          <w:jc w:val="center"/>
        </w:trPr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CFFB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① 光环境与光调控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D9891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围绕未来植物核心光环境开展光源输出、光环境感知与光调控，包括补光、遮光及后续光谱/PPFD表征。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34C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"https://www.zsp-tech.com.cn/products/zpdt802/"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6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智圣普8通道LED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D7FB1A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5000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68D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1625600" cy="952500"/>
                  <wp:effectExtent l="0" t="0" r="0" b="12700"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E49C0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E6AC9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10514</w:t>
            </w:r>
          </w:p>
        </w:tc>
      </w:tr>
      <w:tr w14:paraId="2A598320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8C858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555104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6BB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Style w:val="136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Style w:val="136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10&amp;id=679996758380&amp;mi_id=0000xZRTX_ljjWzqVEPSibtNs6HMade-dQudTsxYRORaFC0&amp;ns=1&amp;priceTId=214783c517793772323683122e10e9&amp;skuId=4881951372688&amp;spm=a21n57.1.hoverItem.2&amp;utparam=%7B%22aplus_abtest%22%3A%222dca75081c84c35d" </w:instrText>
            </w:r>
            <w:r>
              <w:rPr>
                <w:rStyle w:val="136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小型光谱仪</w:t>
            </w:r>
            <w:r>
              <w:rPr>
                <w:rStyle w:val="136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2A28CC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4899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90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593090" cy="989330"/>
                  <wp:effectExtent l="0" t="0" r="16510" b="1270"/>
                  <wp:docPr id="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92461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CBF5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18F8F16A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59AAF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CF83E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F63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707979225951&amp;mi_id=0000_iypanDBHAQr-4vOGNwVjf2QoHluJZNGhZAfkouvO64&amp;ns=1&amp;priceTId=2150487017870468351297933e1a20&amp;skuId=4969983196320&amp;spm=a21n57.1.hoverItem.3&amp;utparam=%7B%22aplus_abtest%22%3A%22bef48e18004ee8d2c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光量子传感器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（4个）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F19F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270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8A83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886460" cy="744220"/>
                  <wp:effectExtent l="0" t="0" r="2540" b="17780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60" cy="74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D1449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4E02A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06EDADA8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E990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401240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E40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instrText xml:space="preserve"> HYPERLINK "https://item.jd.com/10120894740682.html?pcdk=bkXrc2uqBEmrObvJr6pagmukzvRXY6y31gcdbMxsHcOsN2nVWevVj6RCP377RdIb.rQ4a.tlbT&amp;spmTag=YTAyNDAuYjAwMjQ5My5jMDAwMDQwMjcuMjgxJTIzc2t1X2NhcmQlNDAxNzc5MzI2NzgxMTMzJTIzMTc3NTA5MDg0MTY5MDYzNDI0MzM3MSUyMzIwMDcyMzkzMDg" \l "switc"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遮光布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（4块）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864A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180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18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651510" cy="960755"/>
                  <wp:effectExtent l="0" t="0" r="8890" b="4445"/>
                  <wp:docPr id="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510" cy="960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D353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V1预留 / V2完善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B9D9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473BF076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878E5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3EA5C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147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instrText xml:space="preserve"> HYPERLINK "https://item.taobao.com/item.htm?ali_refid=a3_430582_1006%3A1300190185%3AH%3AB7EVgkX2P1VuKMilmiz4CQ%3D%3D%3A38bc98a47e4b8ba0ccf9789ccd2bd91d&amp;ali_trackid=282_38bc98a47e4b8ba0ccf9789ccd2bd91d&amp;id=985226031447&amp;mi_id=0000iIJVckyri6v50A-lgfANgdba8ouCma8-CP0lex9-"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遮光布轨道电机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（4个）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6C37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165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462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809625" cy="749935"/>
                  <wp:effectExtent l="0" t="0" r="3175" b="12065"/>
                  <wp:docPr id="3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D97B1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V1预留 / V2完善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88A0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1ECA3CE5">
        <w:trPr>
          <w:cantSplit/>
          <w:jc w:val="center"/>
        </w:trPr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13FE2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② 多模态感知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1C2A2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形成环境感知与植物表型感知两类数据入口；环境侧覆盖空气与营养液状态，植物侧采用多视角RGB采集表型。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87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1070199799858&amp;mi_id=0000LhYYiqmjLr9VtCXTzjoBWLbt2xUjeiENEP5KQ_uKUzw&amp;ns=1&amp;priceTId=2147804f17870473332064759e11cf&amp;skuId=6122007065600&amp;spm=a21n57.1.hoverItem.6&amp;utparam=%7B%22aplus_abtest%22%3A%228c7c96fb082d3587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温湿度传感器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E1C8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69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4CD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716280" cy="895350"/>
                  <wp:effectExtent l="0" t="0" r="20320" b="19050"/>
                  <wp:docPr id="2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DBC8E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C564D2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4515.19</w:t>
            </w:r>
          </w:p>
        </w:tc>
      </w:tr>
      <w:tr w14:paraId="213A6ECD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9C38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AC3BC3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1D2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instrText xml:space="preserve"> HYPERLINK "https://item.taobao.com/item.htm?abbucket=10&amp;id=921272616477&amp;mi_id=0000kC_srbkCBt-WzMuiXZmi2H15e4eW4K0Y3iL8j1neBpM&amp;ns=1&amp;priceTId=214783c517793773137671370e10e9&amp;skuId=6062211818022&amp;spm=a21n57.1.hoverItem.2&amp;utparam=%7B%22aplus_abtest%22%3A%22920a508546efea2f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CO</w:t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subscript"/>
                <w:lang w:val="en-US" w:eastAsia="zh-CN"/>
              </w:rPr>
              <w:t>2</w:t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传感器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（1个）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92618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7.65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2BE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739140" cy="768350"/>
                  <wp:effectExtent l="0" t="0" r="22860" b="1905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14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1E6E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C43C5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32B05E4F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4263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22F21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A73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621745392621&amp;mi_id=0000oHwWNMJOS_WQbHe8UCybUemgov2dtbMJuehcioKklJA&amp;ns=1&amp;priceTId=2147804f17870476958752484e11cf&amp;skuId=4395867448978&amp;spm=a21n57.1.hoverItem.9&amp;utparam=%7B%22aplus_abtest%22%3A%22227863a04d86fb0ea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风速传感器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D0793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320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77C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941705" cy="508635"/>
                  <wp:effectExtent l="0" t="0" r="23495" b="24765"/>
                  <wp:docPr id="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705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7882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C2B2C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76197A5F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2F15B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16A2D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9DC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u w:val="none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u w:val="none"/>
                <w:lang w:val="en-US" w:eastAsia="zh-CN"/>
              </w:rPr>
              <w:instrText xml:space="preserve"> HYPERLINK "https://detail.tmall.com/item.htm?abbucket=3&amp;id=1050386613375&amp;mi_id=0000rfUR3FYjww608Lv3ZItL4TMJ92oMCI7vgHiqsrfPR0w&amp;ns=1&amp;priceTId=214784bf17871842521638997e10ea&amp;skuId=6079782092691&amp;spm=a21n57.1.hoverItem.7&amp;utparam=%7B%22aplus_abtest%22%3A%22c7c6da0e84c4d93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u w:val="none"/>
                <w:lang w:val="en-US" w:eastAsia="zh-CN"/>
              </w:rPr>
              <w:fldChar w:fldCharType="separate"/>
            </w:r>
            <w:r>
              <w:rPr>
                <w:rStyle w:val="136"/>
                <w:rFonts w:hint="eastAsia" w:ascii="宋体" w:hAnsi="宋体" w:eastAsia="宋体" w:cs="宋体"/>
                <w:b w:val="0"/>
                <w:sz w:val="18"/>
                <w:szCs w:val="18"/>
                <w:lang w:val="en-US" w:eastAsia="zh-CN"/>
              </w:rPr>
              <w:t>摄像模组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u w:val="none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EC5520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3800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9BCF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drawing>
                <wp:inline distT="0" distB="0" distL="114300" distR="114300">
                  <wp:extent cx="953135" cy="897255"/>
                  <wp:effectExtent l="0" t="0" r="12065" b="1714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967F3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8D35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1A3C648D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1774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CE0581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828E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683017811321&amp;mi_id=0000yeZr78UprcIOnBhJuIdMRqky8sQU2Oda7FsbFORxzyg&amp;ns=1&amp;priceTId=2150484c17870481532652499e1a75&amp;skuId=4882005836740&amp;spm=a21n57.1.hoverItem.2&amp;utparam=%7B%22aplus_abtest%22%3A%224f74bee1e4a7572f3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水温传感器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EDCA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37.5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81B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736600" cy="676275"/>
                  <wp:effectExtent l="0" t="0" r="0" b="9525"/>
                  <wp:docPr id="3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7E17D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EEF43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15698A3B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E08B12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D3B7F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D22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761002123797&amp;mi_id=0000KW45tLwuGuRWo5rh_3ozpRBp5sdtXDorAfDRRyGdRgk&amp;ns=1&amp;priceTId=2150484c17870483311684842e1a75&amp;skuId=5243176500818&amp;spm=a21n57.1.hoverItem.2&amp;utparam=%7B%22aplus_abtest%22%3A%2276361a66cd84744d1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PH/EC传感器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A440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281.04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CDB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586740" cy="868680"/>
                  <wp:effectExtent l="0" t="0" r="22860" b="20320"/>
                  <wp:docPr id="3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9918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66CC8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0569B093">
        <w:trPr>
          <w:cantSplit/>
          <w:jc w:val="center"/>
        </w:trPr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79B5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③ 数据分析与可视化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D14F1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汇聚系统运行与实验数据，承担数据接入、管理、分析及大屏展示，并为V2多源科研数据分析预留统一接口。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D36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detail.tmall.com/item.htm?abbucket=3&amp;id=639444197435&amp;mi_id=0000FMYdYecP8RtrwldgSDp7QmUtsJtqD7Pj6vSrbQFWguU&amp;ns=1&amp;priceTId=2150484c17870485378388391e1a75&amp;skuId=4592040029043&amp;spm=a21n57.1.hoverItem.2&amp;utparam=%7B%22aplus_abtest%22%3A%2282e5840a6bf3d9d3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触摸屏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B8B9C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136.31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8B1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819150" cy="847725"/>
                  <wp:effectExtent l="0" t="0" r="19050" b="15875"/>
                  <wp:docPr id="3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24BC3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B2CA21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19163.31</w:t>
            </w:r>
          </w:p>
        </w:tc>
      </w:tr>
      <w:tr w14:paraId="478D2384">
        <w:trPr>
          <w:cantSplit/>
          <w:jc w:val="center"/>
        </w:trPr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124B1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261C6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14B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jeton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DA507F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18968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97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drawing>
                <wp:inline distT="0" distB="0" distL="114300" distR="114300">
                  <wp:extent cx="955040" cy="890270"/>
                  <wp:effectExtent l="0" t="0" r="10160" b="2413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40" cy="89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0500BD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V1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91790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28A0CCA8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14B97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7D85CA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321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765469896086&amp;mi_id=0000IKevIWON9dXrc6mMlePzHwvwyaYv_eqbcbmhHcH_aDw&amp;ns=1&amp;priceTId=2150484c17870486252215378e1a75&amp;spm=a21n57.1.hoverItem.2&amp;utparam=%7B%22aplus_abtest%22%3A%226d45ee29c3e68e02134aae304583e12b%22%7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电能表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B8599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59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43B7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1068705" cy="1050925"/>
                  <wp:effectExtent l="0" t="0" r="23495" b="15875"/>
                  <wp:docPr id="3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05" cy="105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49DFC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V2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ECE31E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tr w14:paraId="2E25DF9B">
        <w:trPr>
          <w:cantSplit/>
          <w:jc w:val="center"/>
        </w:trPr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D6ECF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④ 控制执行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0AB8D8">
            <w:pPr>
              <w:jc w:val="left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承担设备驱动与执行控制，包括通风、基础供液及后续自动水肥循环，并通过控制箱统一接入软件控制链路。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6B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bbucket=3&amp;id=1055059715078&amp;mi_id=0000XwHEIqZmJUXGj8GeDknIkDnB5Iqyx0Uedr5H_n8hrek&amp;ns=1&amp;priceTId=2147804f17870476136807311e11cf&amp;skuId=6262876591572&amp;spm=a21n57.1.hoverItem.1&amp;utparam=%7B%22aplus_abtest%22%3A%22ab413b0f740b07a0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循环风机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（2个）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A978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E93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680720" cy="680720"/>
                  <wp:effectExtent l="0" t="0" r="5080" b="5080"/>
                  <wp:docPr id="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68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804C4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BAB024">
            <w:pPr>
              <w:jc w:val="center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408</w:t>
            </w:r>
          </w:p>
        </w:tc>
      </w:tr>
      <w:tr w14:paraId="70CC39C2">
        <w:trPr>
          <w:cantSplit/>
          <w:jc w:val="center"/>
        </w:trPr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AEB5F6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4660C">
            <w:pP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995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instrText xml:space="preserve"> HYPERLINK "https://item.taobao.com/item.htm?ali_refid=a3_430582_1006%3A1106939998%3AH%3AilIEdKTUW2PuGihLH8mUjA%3D%3D%3Af406ef88bd5f50c31cd9610d07e15777&amp;ali_trackid=283_f406ef88bd5f50c31cd9610d07e15777&amp;id=597133999248&amp;mi_id=0000Kr_btbhs0Eux4QFIspnn0OazCO3SsL7_BdBxHXRy" </w:instrTex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34"/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水泵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（1个）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A33D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380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174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76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drawing>
                <wp:inline distT="0" distB="0" distL="114300" distR="114300">
                  <wp:extent cx="748030" cy="915035"/>
                  <wp:effectExtent l="0" t="0" r="13970" b="24765"/>
                  <wp:docPr id="2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30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FB02B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V1基础供液 / V2自动循环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A034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</w:p>
        </w:tc>
      </w:tr>
      <w:bookmarkEnd w:id="0"/>
      <w:tr w14:paraId="4B6D9AF8">
        <w:trPr>
          <w:cantSplit/>
          <w:jc w:val="center"/>
        </w:trPr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0CB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其他费用</w:t>
            </w:r>
          </w:p>
        </w:tc>
        <w:tc>
          <w:tcPr>
            <w:tcW w:w="32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11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工件定制</w:t>
            </w: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884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15000</w:t>
            </w:r>
          </w:p>
        </w:tc>
        <w:tc>
          <w:tcPr>
            <w:tcW w:w="1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40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22500</w:t>
            </w:r>
          </w:p>
        </w:tc>
      </w:tr>
      <w:tr w14:paraId="690EA4E6">
        <w:trPr>
          <w:cantSplit/>
          <w:jc w:val="center"/>
        </w:trPr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1F9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32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CB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耗材</w:t>
            </w: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A6C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2500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86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2BEDAD6A">
        <w:trPr>
          <w:cantSplit/>
          <w:jc w:val="center"/>
        </w:trPr>
        <w:tc>
          <w:tcPr>
            <w:tcW w:w="1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48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32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8C5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其他</w:t>
            </w:r>
          </w:p>
        </w:tc>
        <w:tc>
          <w:tcPr>
            <w:tcW w:w="48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84F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5000</w:t>
            </w:r>
          </w:p>
        </w:tc>
        <w:tc>
          <w:tcPr>
            <w:tcW w:w="1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E5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350159E0">
        <w:trPr>
          <w:cantSplit/>
          <w:jc w:val="center"/>
        </w:trPr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CF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总计</w:t>
            </w:r>
          </w:p>
        </w:tc>
        <w:tc>
          <w:tcPr>
            <w:tcW w:w="802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F8F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default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58650.5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071B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</w:p>
        </w:tc>
      </w:tr>
    </w:tbl>
    <w:p w14:paraId="507D8374">
      <w:pPr>
        <w:pStyle w:val="3"/>
        <w:jc w:val="both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>三、</w:t>
      </w:r>
      <w:r>
        <w:rPr>
          <w:rFonts w:hint="eastAsia" w:ascii="宋体" w:hAnsi="宋体" w:eastAsia="宋体" w:cs="宋体"/>
          <w:color w:val="auto"/>
          <w:lang w:val="en-US" w:eastAsia="zh-CN"/>
        </w:rPr>
        <w:t>实施路径预计划</w:t>
      </w:r>
    </w:p>
    <w:p w14:paraId="682C1A2F">
      <w:pPr>
        <w:pStyle w:val="4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3.1 实施路径及计划</w:t>
      </w:r>
    </w:p>
    <w:p w14:paraId="2F3A9379">
      <w:pPr>
        <w:spacing w:line="348" w:lineRule="auto"/>
        <w:ind w:firstLine="420" w:firstLineChars="200"/>
        <w:jc w:val="both"/>
        <w:rPr>
          <w:rFonts w:hint="eastAsia" w:ascii="宋体" w:hAnsi="宋体" w:eastAsia="宋体" w:cs="宋体"/>
          <w:b w:val="0"/>
          <w:lang w:eastAsia="zh-CN"/>
        </w:rPr>
      </w:pPr>
      <w:r>
        <w:rPr>
          <w:rFonts w:hint="eastAsia" w:ascii="宋体" w:hAnsi="宋体" w:eastAsia="宋体" w:cs="宋体"/>
          <w:b w:val="0"/>
        </w:rPr>
        <w:t>V1版本定位为</w:t>
      </w:r>
      <w:r>
        <w:rPr>
          <w:rFonts w:hint="eastAsia" w:ascii="宋体" w:hAnsi="宋体" w:eastAsia="宋体" w:cs="宋体"/>
          <w:b/>
          <w:color w:val="3357F1"/>
        </w:rPr>
        <w:t>最小可运行原型</w:t>
      </w:r>
      <w:r>
        <w:rPr>
          <w:rFonts w:hint="eastAsia" w:ascii="宋体" w:hAnsi="宋体" w:eastAsia="宋体" w:cs="宋体"/>
          <w:b w:val="0"/>
        </w:rPr>
        <w:t>，建设周期为</w:t>
      </w:r>
      <w:r>
        <w:rPr>
          <w:rFonts w:hint="eastAsia" w:ascii="宋体" w:hAnsi="宋体" w:eastAsia="宋体" w:cs="宋体"/>
          <w:b/>
          <w:color w:val="3357F1"/>
        </w:rPr>
        <w:t>1个半月（约6周）</w:t>
      </w:r>
      <w:r>
        <w:rPr>
          <w:rFonts w:hint="eastAsia" w:ascii="宋体" w:hAnsi="宋体" w:eastAsia="宋体" w:cs="宋体"/>
          <w:b w:val="0"/>
        </w:rPr>
        <w:t>。其目标是在保证玉米基本生长条件和系统安全的前提下，尽快完成主体结构、基础水培、光环境、必要执行设备、控制系统和可视化界面的贯通，</w:t>
      </w:r>
      <w:r>
        <w:rPr>
          <w:rFonts w:hint="eastAsia" w:ascii="宋体" w:hAnsi="宋体" w:eastAsia="宋体" w:cs="宋体"/>
          <w:b/>
          <w:color w:val="3357F1"/>
        </w:rPr>
        <w:t>形成可连续运行、可现场展示、可继续扩展的第一版系统</w:t>
      </w:r>
      <w:r>
        <w:rPr>
          <w:rFonts w:hint="eastAsia" w:ascii="宋体" w:hAnsi="宋体" w:eastAsia="宋体" w:cs="宋体"/>
          <w:b w:val="0"/>
          <w:lang w:eastAsia="zh-CN"/>
        </w:rPr>
        <w:t>。</w:t>
      </w:r>
    </w:p>
    <w:p w14:paraId="166B625A">
      <w:pPr>
        <w:spacing w:line="348" w:lineRule="auto"/>
        <w:ind w:firstLine="420" w:firstLineChars="200"/>
        <w:jc w:val="both"/>
        <w:rPr>
          <w:rFonts w:hint="eastAsia" w:ascii="宋体" w:hAnsi="宋体" w:eastAsia="宋体" w:cs="宋体"/>
          <w:b w:val="0"/>
          <w:lang w:val="en-US" w:eastAsia="zh-CN"/>
        </w:rPr>
      </w:pPr>
      <w:r>
        <w:rPr>
          <w:rFonts w:hint="eastAsia" w:ascii="宋体" w:hAnsi="宋体" w:eastAsia="宋体" w:cs="宋体"/>
          <w:b w:val="0"/>
          <w:lang w:val="en-US" w:eastAsia="zh-CN"/>
        </w:rPr>
        <w:t>V2版本计划在V1基础上继续用1个月（约4周）完成。 该阶段重点面向科研功能完善，对V1阶段预留的功能接口进行实际设备接入与系统升级。主要包括侧面LED与自动遮光机构完善，温湿度、CO₂、风速等环境感知设备接入，多视角RGB相机及水质监测装置安装，电能计量模块接入，以及补光、遮光、通风、水肥等执行设备的协同控制。在此基础上进一步完善多源数据汇聚、分析和可视化展示功能，并通过连续运行和玉米生长实验开展整机联调与系统验证。</w:t>
      </w:r>
    </w:p>
    <w:p w14:paraId="022205F0">
      <w:pPr>
        <w:spacing w:line="348" w:lineRule="auto"/>
        <w:ind w:firstLine="420" w:firstLineChars="200"/>
        <w:jc w:val="both"/>
        <w:rPr>
          <w:rFonts w:hint="eastAsia" w:ascii="宋体" w:hAnsi="宋体" w:eastAsia="宋体" w:cs="宋体"/>
          <w:b w:val="0"/>
          <w:lang w:val="en-US" w:eastAsia="zh-CN"/>
        </w:rPr>
      </w:pPr>
      <w:r>
        <w:rPr>
          <w:rFonts w:hint="eastAsia" w:ascii="宋体" w:hAnsi="宋体" w:eastAsia="宋体" w:cs="宋体"/>
          <w:b w:val="0"/>
          <w:lang w:val="en-US" w:eastAsia="zh-CN"/>
        </w:rPr>
        <w:t>具体实施阶段及时间安排如图2所示，其中</w:t>
      </w:r>
      <w:r>
        <w:rPr>
          <w:rFonts w:hint="eastAsia" w:ascii="宋体" w:hAnsi="宋体" w:eastAsia="宋体" w:cs="宋体"/>
          <w:b w:val="0"/>
          <w:color w:val="FF0000"/>
          <w:lang w:val="en-US" w:eastAsia="zh-CN"/>
        </w:rPr>
        <w:t>红色字体代表V2版本实现的任务</w:t>
      </w:r>
      <w:r>
        <w:rPr>
          <w:rFonts w:hint="eastAsia" w:ascii="宋体" w:hAnsi="宋体" w:eastAsia="宋体" w:cs="宋体"/>
          <w:b w:val="0"/>
          <w:lang w:val="en-US" w:eastAsia="zh-CN"/>
        </w:rPr>
        <w:t>。</w:t>
      </w:r>
    </w:p>
    <w:p w14:paraId="2ABD0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48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b w:val="0"/>
          <w:lang w:val="en-US" w:eastAsia="zh-CN"/>
        </w:rPr>
      </w:pPr>
      <w:r>
        <w:rPr>
          <w:rFonts w:hint="eastAsia" w:ascii="宋体" w:hAnsi="宋体" w:eastAsia="宋体" w:cs="宋体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-735330</wp:posOffset>
            </wp:positionH>
            <wp:positionV relativeFrom="paragraph">
              <wp:posOffset>-8328025</wp:posOffset>
            </wp:positionV>
            <wp:extent cx="7565390" cy="4965065"/>
            <wp:effectExtent l="0" t="0" r="0" b="0"/>
            <wp:wrapTight wrapText="bothSides">
              <wp:wrapPolygon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5390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lang w:val="en-US" w:eastAsia="zh-CN"/>
        </w:rPr>
        <w:t>图2 实施计划与安排</w:t>
      </w:r>
    </w:p>
    <w:p w14:paraId="79F39660">
      <w:pPr>
        <w:pStyle w:val="3"/>
        <w:jc w:val="both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四</w:t>
      </w:r>
      <w:r>
        <w:rPr>
          <w:rFonts w:hint="eastAsia" w:ascii="宋体" w:hAnsi="宋体" w:eastAsia="宋体" w:cs="宋体"/>
          <w:color w:val="auto"/>
        </w:rPr>
        <w:t>、下一步工作安排</w:t>
      </w:r>
    </w:p>
    <w:p w14:paraId="7570AC42">
      <w:pPr>
        <w:spacing w:line="348" w:lineRule="auto"/>
        <w:ind w:firstLine="420" w:firstLineChars="20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现阶段建设路线已经明确，下一步工作应直接围绕V1落地展开，同时把V2扩展要求前置到接口设计中。近期工作重点</w:t>
      </w:r>
      <w:r>
        <w:rPr>
          <w:rFonts w:hint="eastAsia" w:ascii="宋体" w:hAnsi="宋体" w:eastAsia="宋体" w:cs="宋体"/>
          <w:lang w:val="en-US" w:eastAsia="zh-CN"/>
        </w:rPr>
        <w:t>包括两个方面：</w:t>
      </w:r>
    </w:p>
    <w:p w14:paraId="3D6A79C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8" w:lineRule="auto"/>
        <w:ind w:firstLine="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与刘磊老师开展方案研讨，充分吸收指导意见，完成原型系统建设方案修订定稿</w:t>
      </w:r>
    </w:p>
    <w:p w14:paraId="5B97D516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8" w:lineRule="auto"/>
        <w:ind w:firstLine="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同步推进前期调研与筹备工作</w:t>
      </w:r>
      <w:r>
        <w:rPr>
          <w:rFonts w:hint="eastAsia" w:ascii="宋体" w:hAnsi="宋体" w:eastAsia="宋体" w:cs="宋体"/>
        </w:rPr>
        <w:t>：</w:t>
      </w:r>
    </w:p>
    <w:p w14:paraId="09768FA9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1）确定</w:t>
      </w:r>
      <w:r>
        <w:rPr>
          <w:rFonts w:hint="eastAsia" w:ascii="宋体" w:hAnsi="宋体" w:eastAsia="宋体" w:cs="宋体"/>
        </w:rPr>
        <w:t>图1对应的主体结构尺寸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铝合金型材规格、连接方式、立柱位置、脚轮及承载方案。</w:t>
      </w:r>
    </w:p>
    <w:p w14:paraId="50D9707D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2）</w:t>
      </w:r>
      <w:r>
        <w:rPr>
          <w:rFonts w:hint="eastAsia" w:ascii="宋体" w:hAnsi="宋体" w:eastAsia="宋体" w:cs="宋体"/>
        </w:rPr>
        <w:t>确定V1必需设备清单和采购优先级，优先落实LED、种植槽、基础供液、风机、树莓派、控制箱和显示设备。</w:t>
      </w:r>
    </w:p>
    <w:p w14:paraId="48A9A99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3）</w:t>
      </w:r>
      <w:r>
        <w:rPr>
          <w:rFonts w:hint="eastAsia" w:ascii="宋体" w:hAnsi="宋体" w:eastAsia="宋体" w:cs="宋体"/>
        </w:rPr>
        <w:t>完成V1/V2统一接口清单，明确后续传感器、RGB相机、EC/pH、水温、光谱/PPFD及能源计量设备的安装位、供电和通信方式。</w:t>
      </w:r>
    </w:p>
    <w:p w14:paraId="2390385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4）</w:t>
      </w:r>
      <w:r>
        <w:rPr>
          <w:rFonts w:hint="eastAsia" w:ascii="宋体" w:hAnsi="宋体" w:eastAsia="宋体" w:cs="宋体"/>
        </w:rPr>
        <w:t>按照图2的6周计划开展V1搭建，每周形成可检查的阶段成果，并在第5—6周完成整机联调、玉米试种和现场展示准备。</w:t>
      </w:r>
    </w:p>
    <w:p w14:paraId="10A9A3A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5）</w:t>
      </w:r>
      <w:r>
        <w:rPr>
          <w:rFonts w:hint="eastAsia" w:ascii="宋体" w:hAnsi="宋体" w:eastAsia="宋体" w:cs="宋体"/>
        </w:rPr>
        <w:t>V1稳定运行后立即进入V2建设，利用1个月完成感知、自动水肥循环、能源计量、多源数据分析和科研功能完善。</w:t>
      </w:r>
    </w:p>
    <w:sectPr>
      <w:footerReference r:id="rId5" w:type="default"/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75E74">
    <w:pPr>
      <w:pStyle w:val="24"/>
      <w:jc w:val="center"/>
    </w:pPr>
    <w:r>
      <w:rPr>
        <w:rFonts w:ascii="Noto Serif CJK SC" w:hAnsi="Noto Serif CJK SC" w:eastAsia="Noto Serif CJK SC"/>
        <w:color w:val="7F7F7F"/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erif CJK SC" w:hAnsi="Noto Serif CJK SC" w:eastAsia="Noto Serif CJK SC"/>
        <w:color w:val="7F7F7F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6A358"/>
    <w:multiLevelType w:val="singleLevel"/>
    <w:tmpl w:val="FBE6A35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DF3F32"/>
    <w:rsid w:val="6DFA5CEB"/>
    <w:rsid w:val="79E797D1"/>
    <w:rsid w:val="7B7D028F"/>
    <w:rsid w:val="7C7FCBAB"/>
    <w:rsid w:val="95F79863"/>
    <w:rsid w:val="C7BF6196"/>
    <w:rsid w:val="D737F630"/>
    <w:rsid w:val="DDEF07E9"/>
    <w:rsid w:val="E1BA9088"/>
    <w:rsid w:val="F55EDCA5"/>
    <w:rsid w:val="FAFDC066"/>
    <w:rsid w:val="FBF9E34C"/>
    <w:rsid w:val="FFBFCE6E"/>
    <w:rsid w:val="FFDFC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18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1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2F5496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  <w:jc w:val="center"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uiPriority w:val="0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uiPriority w:val="0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Figure Caption CN"/>
    <w:uiPriority w:val="0"/>
    <w:pPr>
      <w:spacing w:before="60" w:after="140" w:line="276" w:lineRule="auto"/>
      <w:jc w:val="center"/>
    </w:pPr>
    <w:rPr>
      <w:rFonts w:ascii="Noto Serif CJK SC" w:hAnsi="Noto Serif CJK SC" w:eastAsia="Noto Serif CJK SC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刘振豪</cp:lastModifiedBy>
  <dcterms:modified xsi:type="dcterms:W3CDTF">2026-09-06T10:18:30Z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A17CDB80A325B061F52C846A7726600D_42</vt:lpwstr>
  </property>
</Properties>
</file>