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맑은 고딕"/>
          <w:b/>
          <w:sz w:val="26"/>
        </w:rPr>
        <w:t>교수·학습 과정안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6"/>
        <w:gridCol w:w="2776"/>
        <w:gridCol w:w="2776"/>
        <w:gridCol w:w="2776"/>
      </w:tblGrid>
      <w:t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단원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Ⅲ. 알고리즘과 프로그래밍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소단원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01-1. 문제의 추상화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차시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차시 미정 / 68차시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쪽수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교과서 78~83쪽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성취기준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9정03-01, 9정03-02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평가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자기 평가, 관찰 평가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준비물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교사: 교과서, 프레젠테이션 자료, 활동 예시 자료</w:t>
              <w:br/>
              <w:t>학생: 교과서, 필기도구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방법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강의, 탐구 활동, 개별 활동, 발표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학습 목표</w:t>
            </w:r>
          </w:p>
        </w:tc>
        <w:tc>
          <w:tcPr>
            <w:tcW w:type="dxa" w:w="83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• 문제의 상태를 정의하고 수행 가능한 형태로 구조화할 수 있다.</w:t>
              <w:br/>
              <w:t>• 문제 해결을 위한 추상화의 중요성을 설명할 수 있다.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1"/>
        <w:gridCol w:w="2221"/>
        <w:gridCol w:w="2221"/>
        <w:gridCol w:w="2221"/>
        <w:gridCol w:w="2221"/>
      </w:tblGrid>
      <w:tr>
        <w:tc>
          <w:tcPr>
            <w:tcW w:type="dxa" w:w="7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단계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학습 요소</w:t>
            </w:r>
          </w:p>
        </w:tc>
        <w:tc>
          <w:tcPr>
            <w:tcW w:type="dxa" w:w="1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시간</w:t>
            </w:r>
          </w:p>
        </w:tc>
        <w:tc>
          <w:tcPr>
            <w:tcW w:type="dxa" w:w="41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교수·학습 활동</w:t>
            </w:r>
          </w:p>
        </w:tc>
        <w:tc>
          <w:tcPr>
            <w:tcW w:type="dxa" w:w="19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유의점</w:t>
            </w:r>
          </w:p>
        </w:tc>
      </w:tr>
      <w:tr>
        <w:tc>
          <w:tcPr>
            <w:tcW w:type="dxa" w:w="7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도입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학습 목표 확인</w:t>
              <w:br/>
              <w:t>생각 열기</w:t>
            </w:r>
          </w:p>
        </w:tc>
        <w:tc>
          <w:tcPr>
            <w:tcW w:type="dxa" w:w="1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5분</w:t>
            </w:r>
          </w:p>
        </w:tc>
        <w:tc>
          <w:tcPr>
            <w:tcW w:type="dxa" w:w="41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• 학습 목표를 소개한다.</w:t>
              <w:br/>
              <w:t>• ‘일곱 마리 아기 염소’ 이야기에서 늑대와 엄마를 구분할 수 있었던 핵심 특징을 떠올리게 한다.</w:t>
              <w:br/>
              <w:t>• 복잡한 상황에서 문제 해결에 필요한 핵심 요소를 찾는 과정이 추상화와 연결됨을 안내한다.</w:t>
            </w:r>
          </w:p>
        </w:tc>
        <w:tc>
          <w:tcPr>
            <w:tcW w:type="dxa" w:w="19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• 학생이 이야기의 세부 내용보다 핵심 특징을 찾는 데 집중하도록 발문한다.</w:t>
              <w:br/>
              <w:t>• 추상화를 단순한 생략이 아니라 문제 해결에 필요한 요소를 뽑는 과정으로 이해하도록 한다.</w:t>
            </w:r>
          </w:p>
        </w:tc>
      </w:tr>
      <w:tr>
        <w:tc>
          <w:tcPr>
            <w:tcW w:type="dxa" w:w="7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전개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문제와 문제 해결</w:t>
              <w:br/>
              <w:t>문제의 상태와 구조화</w:t>
              <w:br/>
              <w:t>추상화의 중요성</w:t>
            </w:r>
          </w:p>
        </w:tc>
        <w:tc>
          <w:tcPr>
            <w:tcW w:type="dxa" w:w="1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35분</w:t>
            </w:r>
          </w:p>
        </w:tc>
        <w:tc>
          <w:tcPr>
            <w:tcW w:type="dxa" w:w="41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• 문제의 의미와 문제 해결 과정의 단계를 설명한다.</w:t>
              <w:br/>
              <w:t>• 초기 상태, 현재 상태, 목표 상태의 의미를 숨은그림찾기 예시와 연결하여 안내한다.</w:t>
              <w:br/>
              <w:t>• 산불 문제 사례를 활용하여 문제를 표나 그림으로 구조화하는 방법을 탐색하게 한다.</w:t>
            </w:r>
          </w:p>
        </w:tc>
        <w:tc>
          <w:tcPr>
            <w:tcW w:type="dxa" w:w="19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• 초기 상태, 현재 상태, 목표 상태를 구분하지 못하는 학생에게 구체적인 생활 사례를 추가로 제시한다.</w:t>
              <w:br/>
              <w:t>• 구조화 활동에서는 정답보다 문제를 단순하고 명확하게 표현하는 과정에 초점을 둔다.</w:t>
            </w:r>
          </w:p>
        </w:tc>
      </w:tr>
      <w:tr>
        <w:tc>
          <w:tcPr>
            <w:tcW w:type="dxa" w:w="7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정리 및 평가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학습 내용 정리</w:t>
              <w:br/>
              <w:t>자기 평가</w:t>
              <w:br/>
              <w:t>차시 예고</w:t>
            </w:r>
          </w:p>
        </w:tc>
        <w:tc>
          <w:tcPr>
            <w:tcW w:type="dxa" w:w="1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5분</w:t>
            </w:r>
          </w:p>
        </w:tc>
        <w:tc>
          <w:tcPr>
            <w:tcW w:type="dxa" w:w="41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• 문제, 문제 상태, 구조화, 추상화의 관계를 정리한다.</w:t>
              <w:br/>
              <w:t>• 학생이 자신의 문제 구조화 결과를 점검하고, 추상화의 중요성을 설명하게 한다.</w:t>
              <w:br/>
              <w:t>• 다음 차시에서 알고리즘의 표현과 설계로 이어짐을 안내한다.</w:t>
            </w:r>
          </w:p>
        </w:tc>
        <w:tc>
          <w:tcPr>
            <w:tcW w:type="dxa" w:w="19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• 평가 시 결과물의 미려함보다 문제 상태 정의와 핵심 요소 추출 여부를 중점적으로 확인한다.</w:t>
              <w:br/>
              <w:t>• 차시 예고에서 구조화한 문제를 알고리즘으로 표현하는 흐름을 연결한다.</w:t>
            </w:r>
          </w:p>
        </w:tc>
      </w:tr>
    </w:tbl>
    <w:p>
      <w:pPr>
        <w:spacing w:before="0" w:after="0" w:line="252" w:lineRule="auto"/>
      </w:pPr>
      <w:r>
        <w:rPr>
          <w:rFonts w:ascii="Malgun Gothic" w:hAnsi="Malgun Gothic" w:eastAsia="맑은 고딕"/>
          <w:b w:val="0"/>
          <w:sz w:val="16"/>
        </w:rPr>
        <w:t>※ 차시 시간, 활동 시간, 평가 문항은 학교 운영 계획에 맞게 조정한다.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