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Submitted to Molecular Informatics as a software and methods article.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pPr>
        <w:pStyle w:val="Heading1"/>
      </w:pPr>
      <w:r>
        <w:t>Graphical Abstract</w:t>
      </w:r>
    </w:p>
    <w:p>
      <w:r>
        <w:t xml:space="preserve">Image file: </w:t>
      </w:r>
      <w:r>
        <w:rPr>
          <w:rFonts w:ascii="Times New Roman" w:hAnsi="Times New Roman"/>
          <w:sz w:val="24"/>
        </w:rPr>
        <w:t>figures/graphical-abstract.svg</w:t>
      </w:r>
      <w:r>
        <w:t xml:space="preserve"> (vector; PDF and 300 dpi PNG alongside).</w:t>
      </w:r>
    </w:p>
    <w:p>
      <w:r>
        <w:t>In a 16-compound BRAF series measured in a single assay, hydroxyl addition to the pendant phenyl altered potency in opposite directions according to attachment position: a median change of −1.63 log units at the para position and +1.57 at the meta position, each from two matched pairs sharing the same mapped isomeric core. Bars give the range of each median under single-compound omission. SARscope resolves such comparisons to the measurements that support them.</w:t>
      </w:r>
    </w:p>
    <w:p>
      <w:r>
        <w:rPr>
          <w:b/>
        </w:rPr>
        <w:t>Keywords:</w:t>
      </w:r>
      <w:r>
        <w:t xml:space="preserve"> structure–activity relationships; matched molecular pairs; activity cliffs; chemoinformatics;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FFFFFF"/>
          </w:tcPr>
          <w:p>
            <w:pPr>
              <w:spacing w:after="80" w:before="80" w:line="240" w:lineRule="auto"/>
              <w:jc w:val="left"/>
            </w:pPr>
            <w:r>
              <w:rPr>
                <w:b/>
                <w:sz w:val="24"/>
              </w:rPr>
              <w:t>Series</w:t>
            </w:r>
          </w:p>
        </w:tc>
        <w:tc>
          <w:tcPr>
            <w:tcW w:type="dxa" w:w="2087"/>
            <w:shd w:fill="FFFFFF"/>
          </w:tcPr>
          <w:p>
            <w:pPr>
              <w:spacing w:after="80" w:before="80" w:line="240" w:lineRule="auto"/>
              <w:jc w:val="center"/>
            </w:pPr>
            <w:r>
              <w:rPr>
                <w:b/>
                <w:sz w:val="24"/>
              </w:rPr>
              <w:t>Curated assay compounds</w:t>
            </w:r>
          </w:p>
        </w:tc>
        <w:tc>
          <w:tcPr>
            <w:tcW w:type="dxa" w:w="1846"/>
            <w:shd w:fill="FFFFFF"/>
          </w:tcPr>
          <w:p>
            <w:pPr>
              <w:spacing w:after="80" w:before="80" w:line="240" w:lineRule="auto"/>
              <w:jc w:val="center"/>
            </w:pPr>
            <w:r>
              <w:rPr>
                <w:b/>
                <w:sz w:val="24"/>
              </w:rPr>
              <w:t>Selected compounds</w:t>
            </w:r>
          </w:p>
        </w:tc>
        <w:tc>
          <w:tcPr>
            <w:tcW w:type="dxa" w:w="2041"/>
            <w:shd w:fill="FFFFFF"/>
          </w:tcPr>
          <w:p>
            <w:pPr>
              <w:spacing w:after="80" w:before="80" w:line="240" w:lineRule="auto"/>
              <w:jc w:val="center"/>
            </w:pPr>
            <w:r>
              <w:rPr>
                <w:b/>
                <w:sz w:val="24"/>
              </w:rPr>
              <w:t>Positional comparisons</w:t>
            </w:r>
          </w:p>
        </w:tc>
        <w:tc>
          <w:tcPr>
            <w:tcW w:type="dxa" w:w="2132"/>
            <w:shd w:fill="FFFFFF"/>
          </w:tcPr>
          <w:p>
            <w:pPr>
              <w:spacing w:after="80" w:before="80" w:line="240" w:lineRule="auto"/>
              <w:jc w:val="center"/>
            </w:pPr>
            <w:r>
              <w:rPr>
                <w:b/>
                <w:sz w:val="24"/>
              </w:rPr>
              <w:t>Distinct transformations</w:t>
            </w:r>
          </w:p>
        </w:tc>
      </w:tr>
      <w:tr>
        <w:trPr>
          <w:cantSplit/>
        </w:trPr>
        <w:tc>
          <w:tcPr>
            <w:tcW w:type="dxa" w:w="1305"/>
            <w:shd w:fill="FFFFFF"/>
          </w:tcPr>
          <w:p>
            <w:pPr>
              <w:spacing w:after="80" w:before="80" w:line="240" w:lineRule="auto"/>
              <w:jc w:val="left"/>
            </w:pPr>
            <w:r>
              <w:rPr>
                <w:sz w:val="24"/>
              </w:rPr>
              <w:t>BRAF</w:t>
            </w:r>
          </w:p>
        </w:tc>
        <w:tc>
          <w:tcPr>
            <w:tcW w:type="dxa" w:w="2087"/>
            <w:shd w:fill="FFFFFF"/>
          </w:tcPr>
          <w:p>
            <w:pPr>
              <w:spacing w:after="80" w:before="80" w:line="240" w:lineRule="auto"/>
              <w:jc w:val="center"/>
            </w:pPr>
            <w:r>
              <w:rPr>
                <w:sz w:val="24"/>
              </w:rPr>
              <w:t>44</w:t>
            </w:r>
          </w:p>
        </w:tc>
        <w:tc>
          <w:tcPr>
            <w:tcW w:type="dxa" w:w="1846"/>
            <w:shd w:fill="FFFFFF"/>
          </w:tcPr>
          <w:p>
            <w:pPr>
              <w:spacing w:after="80" w:before="80" w:line="240" w:lineRule="auto"/>
              <w:jc w:val="center"/>
            </w:pPr>
            <w:r>
              <w:rPr>
                <w:sz w:val="24"/>
              </w:rPr>
              <w:t>16</w:t>
            </w:r>
          </w:p>
        </w:tc>
        <w:tc>
          <w:tcPr>
            <w:tcW w:type="dxa" w:w="2041"/>
            <w:shd w:fill="FFFFFF"/>
          </w:tcPr>
          <w:p>
            <w:pPr>
              <w:spacing w:after="80" w:before="80" w:line="240" w:lineRule="auto"/>
              <w:jc w:val="center"/>
            </w:pPr>
            <w:r>
              <w:rPr>
                <w:sz w:val="24"/>
              </w:rPr>
              <w:t>29</w:t>
            </w:r>
          </w:p>
        </w:tc>
        <w:tc>
          <w:tcPr>
            <w:tcW w:type="dxa" w:w="2132"/>
            <w:shd w:fill="FFFFFF"/>
          </w:tcPr>
          <w:p>
            <w:pPr>
              <w:spacing w:after="80" w:before="80" w:line="240" w:lineRule="auto"/>
              <w:jc w:val="center"/>
            </w:pPr>
            <w:r>
              <w:rPr>
                <w:sz w:val="24"/>
              </w:rPr>
              <w:t>15</w:t>
            </w:r>
          </w:p>
        </w:tc>
      </w:tr>
      <w:tr>
        <w:trPr>
          <w:cantSplit/>
        </w:trPr>
        <w:tc>
          <w:tcPr>
            <w:tcW w:type="dxa" w:w="1305"/>
            <w:shd w:fill="FFFFFF"/>
          </w:tcPr>
          <w:p>
            <w:pPr>
              <w:spacing w:after="80" w:before="80" w:line="240" w:lineRule="auto"/>
              <w:jc w:val="left"/>
            </w:pPr>
            <w:r>
              <w:rPr>
                <w:sz w:val="24"/>
              </w:rPr>
              <w:t>DRD2</w:t>
            </w:r>
          </w:p>
        </w:tc>
        <w:tc>
          <w:tcPr>
            <w:tcW w:type="dxa" w:w="2087"/>
            <w:shd w:fill="FFFFFF"/>
          </w:tcPr>
          <w:p>
            <w:pPr>
              <w:spacing w:after="80" w:before="80" w:line="240" w:lineRule="auto"/>
              <w:jc w:val="center"/>
            </w:pPr>
            <w:r>
              <w:rPr>
                <w:sz w:val="24"/>
              </w:rPr>
              <w:t>30</w:t>
            </w:r>
          </w:p>
        </w:tc>
        <w:tc>
          <w:tcPr>
            <w:tcW w:type="dxa" w:w="1846"/>
            <w:shd w:fill="FFFFFF"/>
          </w:tcPr>
          <w:p>
            <w:pPr>
              <w:spacing w:after="80" w:before="80" w:line="240" w:lineRule="auto"/>
              <w:jc w:val="center"/>
            </w:pPr>
            <w:r>
              <w:rPr>
                <w:sz w:val="24"/>
              </w:rPr>
              <w:t>23</w:t>
            </w:r>
          </w:p>
        </w:tc>
        <w:tc>
          <w:tcPr>
            <w:tcW w:type="dxa" w:w="2041"/>
            <w:shd w:fill="FFFFFF"/>
          </w:tcPr>
          <w:p>
            <w:pPr>
              <w:spacing w:after="80" w:before="80" w:line="240" w:lineRule="auto"/>
              <w:jc w:val="center"/>
            </w:pPr>
            <w:r>
              <w:rPr>
                <w:sz w:val="24"/>
              </w:rPr>
              <w:t>36</w:t>
            </w:r>
          </w:p>
        </w:tc>
        <w:tc>
          <w:tcPr>
            <w:tcW w:type="dxa" w:w="2132"/>
            <w:shd w:fill="FFFFFF"/>
          </w:tcPr>
          <w:p>
            <w:pPr>
              <w:spacing w:after="80" w:before="80" w:line="240" w:lineRule="auto"/>
              <w:jc w:val="center"/>
            </w:pPr>
            <w:r>
              <w:rPr>
                <w:sz w:val="24"/>
              </w:rPr>
              <w:t>21</w:t>
            </w:r>
          </w:p>
        </w:tc>
      </w:tr>
      <w:tr>
        <w:trPr>
          <w:cantSplit/>
        </w:trPr>
        <w:tc>
          <w:tcPr>
            <w:tcW w:type="dxa" w:w="1305"/>
            <w:shd w:fill="FFFFFF"/>
          </w:tcPr>
          <w:p>
            <w:pPr>
              <w:spacing w:after="80" w:before="80" w:line="240" w:lineRule="auto"/>
              <w:jc w:val="left"/>
            </w:pPr>
            <w:r>
              <w:rPr>
                <w:sz w:val="24"/>
              </w:rPr>
              <w:t>ER-alpha</w:t>
            </w:r>
          </w:p>
        </w:tc>
        <w:tc>
          <w:tcPr>
            <w:tcW w:type="dxa" w:w="2087"/>
            <w:shd w:fill="FFFFFF"/>
          </w:tcPr>
          <w:p>
            <w:pPr>
              <w:spacing w:after="80" w:before="80" w:line="240" w:lineRule="auto"/>
              <w:jc w:val="center"/>
            </w:pPr>
            <w:r>
              <w:rPr>
                <w:sz w:val="24"/>
              </w:rPr>
              <w:t>98</w:t>
            </w:r>
          </w:p>
        </w:tc>
        <w:tc>
          <w:tcPr>
            <w:tcW w:type="dxa" w:w="1846"/>
            <w:shd w:fill="FFFFFF"/>
          </w:tcPr>
          <w:p>
            <w:pPr>
              <w:spacing w:after="80" w:before="80" w:line="240" w:lineRule="auto"/>
              <w:jc w:val="center"/>
            </w:pPr>
            <w:r>
              <w:rPr>
                <w:sz w:val="24"/>
              </w:rPr>
              <w:t>53</w:t>
            </w:r>
          </w:p>
        </w:tc>
        <w:tc>
          <w:tcPr>
            <w:tcW w:type="dxa" w:w="2041"/>
            <w:shd w:fill="FFFFFF"/>
          </w:tcPr>
          <w:p>
            <w:pPr>
              <w:spacing w:after="80" w:before="80" w:line="240" w:lineRule="auto"/>
              <w:jc w:val="center"/>
            </w:pPr>
            <w:r>
              <w:rPr>
                <w:sz w:val="24"/>
              </w:rPr>
              <w:t>198</w:t>
            </w:r>
          </w:p>
        </w:tc>
        <w:tc>
          <w:tcPr>
            <w:tcW w:type="dxa" w:w="2132"/>
            <w:shd w:fill="FFFFFF"/>
          </w:tcPr>
          <w:p>
            <w:pPr>
              <w:spacing w:after="80" w:before="80" w:line="240" w:lineRule="auto"/>
              <w:jc w:val="center"/>
            </w:pPr>
            <w:r>
              <w:rPr>
                <w:sz w:val="24"/>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FFFFFF"/>
          </w:tcPr>
          <w:p>
            <w:pPr>
              <w:spacing w:after="80" w:before="80" w:line="240" w:lineRule="auto"/>
              <w:jc w:val="left"/>
            </w:pPr>
            <w:r>
              <w:rPr>
                <w:b/>
                <w:sz w:val="24"/>
              </w:rPr>
              <w:t>Series</w:t>
            </w:r>
          </w:p>
        </w:tc>
        <w:tc>
          <w:tcPr>
            <w:tcW w:type="dxa" w:w="2353"/>
            <w:shd w:fill="FFFFFF"/>
          </w:tcPr>
          <w:p>
            <w:pPr>
              <w:spacing w:after="80" w:before="80" w:line="240" w:lineRule="auto"/>
              <w:jc w:val="center"/>
            </w:pPr>
            <w:r>
              <w:rPr>
                <w:b/>
                <w:sz w:val="24"/>
              </w:rPr>
              <w:t>Evaluated transformations</w:t>
            </w:r>
          </w:p>
        </w:tc>
        <w:tc>
          <w:tcPr>
            <w:tcW w:type="dxa" w:w="2823"/>
            <w:shd w:fill="FFFFFF"/>
          </w:tcPr>
          <w:p>
            <w:pPr>
              <w:spacing w:after="80" w:before="80" w:line="240" w:lineRule="auto"/>
              <w:jc w:val="center"/>
            </w:pPr>
            <w:r>
              <w:rPr>
                <w:b/>
                <w:sz w:val="24"/>
              </w:rPr>
              <w:t>Median sign retained after compound omissions</w:t>
            </w:r>
          </w:p>
        </w:tc>
        <w:tc>
          <w:tcPr>
            <w:tcW w:type="dxa" w:w="2823"/>
            <w:shd w:fill="FFFFFF"/>
          </w:tcPr>
          <w:p>
            <w:pPr>
              <w:spacing w:after="80" w:before="80" w:line="240" w:lineRule="auto"/>
              <w:jc w:val="center"/>
            </w:pPr>
            <w:r>
              <w:rPr>
                <w:b/>
                <w:sz w:val="24"/>
              </w:rPr>
              <w:t>Full directional criterion retained in tested nonempty subsets</w:t>
            </w:r>
          </w:p>
        </w:tc>
      </w:tr>
      <w:tr>
        <w:trPr>
          <w:cantSplit/>
        </w:trPr>
        <w:tc>
          <w:tcPr>
            <w:tcW w:type="dxa" w:w="1412"/>
            <w:shd w:fill="FFFFFF"/>
          </w:tcPr>
          <w:p>
            <w:pPr>
              <w:spacing w:after="80" w:before="80" w:line="240" w:lineRule="auto"/>
              <w:jc w:val="left"/>
            </w:pPr>
            <w:r>
              <w:rPr>
                <w:sz w:val="24"/>
              </w:rPr>
              <w:t>BRAF</w:t>
            </w:r>
          </w:p>
        </w:tc>
        <w:tc>
          <w:tcPr>
            <w:tcW w:type="dxa" w:w="235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4</w:t>
            </w:r>
          </w:p>
        </w:tc>
      </w:tr>
      <w:tr>
        <w:trPr>
          <w:cantSplit/>
        </w:trPr>
        <w:tc>
          <w:tcPr>
            <w:tcW w:type="dxa" w:w="1412"/>
            <w:shd w:fill="FFFFFF"/>
          </w:tcPr>
          <w:p>
            <w:pPr>
              <w:spacing w:after="80" w:before="80" w:line="240" w:lineRule="auto"/>
              <w:jc w:val="left"/>
            </w:pPr>
            <w:r>
              <w:rPr>
                <w:sz w:val="24"/>
              </w:rPr>
              <w:t>DRD2</w:t>
            </w:r>
          </w:p>
        </w:tc>
        <w:tc>
          <w:tcPr>
            <w:tcW w:type="dxa" w:w="235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5</w:t>
            </w:r>
          </w:p>
        </w:tc>
      </w:tr>
      <w:tr>
        <w:trPr>
          <w:cantSplit/>
        </w:trPr>
        <w:tc>
          <w:tcPr>
            <w:tcW w:type="dxa" w:w="1412"/>
            <w:shd w:fill="FFFFFF"/>
          </w:tcPr>
          <w:p>
            <w:pPr>
              <w:spacing w:after="80" w:before="80" w:line="240" w:lineRule="auto"/>
              <w:jc w:val="left"/>
            </w:pPr>
            <w:r>
              <w:rPr>
                <w:sz w:val="24"/>
              </w:rPr>
              <w:t>ER-alpha</w:t>
            </w:r>
          </w:p>
        </w:tc>
        <w:tc>
          <w:tcPr>
            <w:tcW w:type="dxa" w:w="2353"/>
            <w:shd w:fill="FFFFFF"/>
          </w:tcPr>
          <w:p>
            <w:pPr>
              <w:spacing w:after="80" w:before="80" w:line="240" w:lineRule="auto"/>
              <w:jc w:val="center"/>
            </w:pPr>
            <w:r>
              <w:rPr>
                <w:sz w:val="24"/>
              </w:rPr>
              <w:t>7</w:t>
            </w:r>
          </w:p>
        </w:tc>
        <w:tc>
          <w:tcPr>
            <w:tcW w:type="dxa" w:w="2823"/>
            <w:shd w:fill="FFFFFF"/>
          </w:tcPr>
          <w:p>
            <w:pPr>
              <w:spacing w:after="80" w:before="80" w:line="240" w:lineRule="auto"/>
              <w:jc w:val="center"/>
            </w:pPr>
            <w:r>
              <w:rPr>
                <w:sz w:val="24"/>
              </w:rPr>
              <w:t>7</w:t>
            </w:r>
          </w:p>
        </w:tc>
        <w:tc>
          <w:tcPr>
            <w:tcW w:type="dxa" w:w="2823"/>
            <w:shd w:fill="FFFFFF"/>
          </w:tcPr>
          <w:p>
            <w:pPr>
              <w:spacing w:after="80" w:before="80" w:line="240" w:lineRule="auto"/>
              <w:jc w:val="center"/>
            </w:pPr>
            <w:r>
              <w:rPr>
                <w:sz w:val="24"/>
              </w:rPr>
              <w:t>6</w:t>
            </w:r>
          </w:p>
        </w:tc>
      </w:tr>
      <w:tr>
        <w:trPr>
          <w:cantSplit/>
        </w:trPr>
        <w:tc>
          <w:tcPr>
            <w:tcW w:type="dxa" w:w="1412"/>
            <w:shd w:fill="FFFFFF"/>
          </w:tcPr>
          <w:p>
            <w:pPr>
              <w:spacing w:after="80" w:before="80" w:line="240" w:lineRule="auto"/>
              <w:jc w:val="left"/>
            </w:pPr>
            <w:r>
              <w:rPr>
                <w:sz w:val="24"/>
              </w:rPr>
              <w:t>Total</w:t>
            </w:r>
          </w:p>
        </w:tc>
        <w:tc>
          <w:tcPr>
            <w:tcW w:type="dxa" w:w="2353"/>
            <w:shd w:fill="FFFFFF"/>
          </w:tcPr>
          <w:p>
            <w:pPr>
              <w:spacing w:after="80" w:before="80" w:line="240" w:lineRule="auto"/>
              <w:jc w:val="center"/>
            </w:pPr>
            <w:r>
              <w:rPr>
                <w:sz w:val="24"/>
              </w:rPr>
              <w:t>17</w:t>
            </w:r>
          </w:p>
        </w:tc>
        <w:tc>
          <w:tcPr>
            <w:tcW w:type="dxa" w:w="2823"/>
            <w:shd w:fill="FFFFFF"/>
          </w:tcPr>
          <w:p>
            <w:pPr>
              <w:spacing w:after="80" w:before="80" w:line="240" w:lineRule="auto"/>
              <w:jc w:val="center"/>
            </w:pPr>
            <w:r>
              <w:rPr>
                <w:sz w:val="24"/>
              </w:rPr>
              <w:t>17</w:t>
            </w:r>
          </w:p>
        </w:tc>
        <w:tc>
          <w:tcPr>
            <w:tcW w:type="dxa" w:w="2823"/>
            <w:shd w:fill="FFFFFF"/>
          </w:tcPr>
          <w:p>
            <w:pPr>
              <w:spacing w:after="80" w:before="80" w:line="240" w:lineRule="auto"/>
              <w:jc w:val="center"/>
            </w:pPr>
            <w:r>
              <w:rPr>
                <w:sz w:val="24"/>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 xml:space="preserve">Version 0.1.0 of the source code is released at </w:t>
      </w:r>
      <w:hyperlink r:id="rId9">
        <w:r>
          <w:rPr>
            <w:color w:val="000000"/>
          </w:rPr>
          <w:t>https://github.com/yboulaamane/sarscope/releases/tag/v0.1.0</w:t>
        </w:r>
      </w:hyperlink>
      <w:r>
        <w:t>.</w:t>
      </w:r>
      <w:r>
        <w:t xml:space="preserve"> The frozen ChEMBL 37 benchmark snapshots and the saved held-out predictions are included in that release as </w:t>
      </w:r>
      <w:r>
        <w:rPr>
          <w:rFonts w:ascii="Times New Roman" w:hAnsi="Times New Roman"/>
          <w:sz w:val="24"/>
        </w:rPr>
        <w:t>paper/benchmark-chembl37.tar.gz</w:t>
      </w:r>
      <w:r>
        <w:t xml:space="preserve"> (SHA-256 3c5fe2cd0769c83ee7adf507615cca9174bb9ba270284fa360e80f67f7bbfc96). A Zenodo deposit of the same release is prepared but not yet published, so no DOI is cited here.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0">
                      <a:extLst>
                        <a:ext uri="{96DAC541-7B7A-43D3-8B79-37D633B846F1}">
                          <asvg:svgBlip xmlns:asvg="http://schemas.microsoft.com/office/drawing/2016/SVG/main" r:embed="rId11"/>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asvg:svgBlip xmlns:asvg="http://schemas.microsoft.com/office/drawing/2016/SVG/main" r:embed="rId17"/>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18">
        <w:r>
          <w:rPr>
            <w:color w:val="000000"/>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19">
        <w:r>
          <w:rPr>
            <w:color w:val="000000"/>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0">
        <w:r>
          <w:rPr>
            <w:color w:val="000000"/>
          </w:rPr>
          <w:t>https://sarscope.streamlit.app/</w:t>
        </w:r>
      </w:hyperlink>
      <w:r>
        <w:t>,</w:t>
      </w:r>
      <w:r>
        <w:t xml:space="preserve"> accessed 13 October 2026.</w:t>
      </w:r>
    </w:p>
    <w:sectPr w:rsidR="00FC693F" w:rsidRPr="0006063C" w:rsidSect="00034616">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Bdr>
        <w:top w:val="none" w:sz="0" w:space="0"/>
        <w:left w:val="none" w:sz="0" w:space="0"/>
        <w:bottom w:val="none" w:sz="0" w:space="0"/>
        <w:right w:val="none" w:sz="0" w:space="0"/>
        <w:between w:val="none" w:sz="0" w:space="0"/>
      </w:pBdr>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Bdr>
        <w:top w:val="none" w:sz="0" w:space="0"/>
        <w:left w:val="none" w:sz="0" w:space="0"/>
        <w:bottom w:val="none" w:sz="0" w:space="0"/>
        <w:right w:val="none" w:sz="0" w:space="0"/>
        <w:between w:val="none" w:sz="0" w:space="0"/>
      </w:pBdr>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240"/>
      <w:contextualSpacing/>
      <w:keepNext/>
      <w:pBdr>
        <w:top w:val="none" w:sz="0" w:space="0"/>
        <w:left w:val="none" w:sz="0" w:space="0"/>
        <w:bottom w:val="none" w:sz="0" w:space="0"/>
        <w:right w:val="none" w:sz="0" w:space="0"/>
        <w:between w:val="none" w:sz="0" w:space="0"/>
      </w:pBdr>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yboulaamane/sarscope/releases/tag/v0.1.0" TargetMode="External"/><Relationship Id="rId10" Type="http://schemas.openxmlformats.org/officeDocument/2006/relationships/image" Target="media/image1.png"/><Relationship Id="rId11" Type="http://schemas.openxmlformats.org/officeDocument/2006/relationships/image" Target="media/figure1.svg"/><Relationship Id="rId12" Type="http://schemas.openxmlformats.org/officeDocument/2006/relationships/image" Target="media/image2.png"/><Relationship Id="rId13" Type="http://schemas.openxmlformats.org/officeDocument/2006/relationships/image" Target="media/figure2.svg"/><Relationship Id="rId14" Type="http://schemas.openxmlformats.org/officeDocument/2006/relationships/image" Target="media/image3.png"/><Relationship Id="rId15" Type="http://schemas.openxmlformats.org/officeDocument/2006/relationships/image" Target="media/figure3.svg"/><Relationship Id="rId16" Type="http://schemas.openxmlformats.org/officeDocument/2006/relationships/image" Target="media/image4.png"/><Relationship Id="rId17" Type="http://schemas.openxmlformats.org/officeDocument/2006/relationships/image" Target="media/figure4.svg"/><Relationship Id="rId18" Type="http://schemas.openxmlformats.org/officeDocument/2006/relationships/hyperlink" Target="https://www.rdkit.org/" TargetMode="External"/><Relationship Id="rId19" Type="http://schemas.openxmlformats.org/officeDocument/2006/relationships/hyperlink" Target="https://github.com/yboulaamane/sarscope" TargetMode="External"/><Relationship Id="rId20"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