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AEBB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Tech Corps is a GTM move, not a feel-good program.</w:t>
      </w:r>
    </w:p>
    <w:p w14:paraId="614E0A4F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09EE5264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If you lead Revenue Operations, BI, or GTM, you should read it that way: the “AI race” is shifting from model releases to deployment capacity in the field.</w:t>
      </w:r>
    </w:p>
    <w:p w14:paraId="16DB8A11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7F4C6971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The U.S. is explicitly backing a global AI adoption push with Tech Corps, a Peace Corps-style initiative designed to place tech-skilled volunteers (STEM grads and experienced AI practitioners) into host countries. The goal is practical implementation: agriculture, education, health, economic development, and the unglamorous work of getting systems to run in real environments.</w:t>
      </w:r>
    </w:p>
    <w:p w14:paraId="317607E4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81988A0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What’s notable is the bundle around Tech Corps:</w:t>
      </w:r>
    </w:p>
    <w:p w14:paraId="269B30F4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🔧</w:t>
      </w:r>
      <w:r>
        <w:rPr>
          <w:rFonts w:ascii="Segoe UI" w:hAnsi="Segoe UI" w:cs="Segoe UI"/>
          <w:sz w:val="30"/>
          <w:szCs w:val="30"/>
        </w:rPr>
        <w:t xml:space="preserve"> People on the ground (last-mile implementation support)</w:t>
      </w:r>
    </w:p>
    <w:p w14:paraId="2AB1B76A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💰</w:t>
      </w:r>
      <w:r>
        <w:rPr>
          <w:rFonts w:ascii="Segoe UI" w:hAnsi="Segoe UI" w:cs="Segoe UI"/>
          <w:sz w:val="30"/>
          <w:szCs w:val="30"/>
        </w:rPr>
        <w:t xml:space="preserve"> Financing paths (lower the barrier to adopt a full stack)</w:t>
      </w:r>
    </w:p>
    <w:p w14:paraId="7ED62EE0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📏</w:t>
      </w:r>
      <w:r>
        <w:rPr>
          <w:rFonts w:ascii="Segoe UI" w:hAnsi="Segoe UI" w:cs="Segoe UI"/>
          <w:sz w:val="30"/>
          <w:szCs w:val="30"/>
        </w:rPr>
        <w:t xml:space="preserve"> Standards for AI agents (interoperability and confidence, not just capability)</w:t>
      </w:r>
    </w:p>
    <w:p w14:paraId="79D1519D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E34F92E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This matters because AI adoption fails for the same reasons RevOps projects fail:</w:t>
      </w:r>
    </w:p>
    <w:p w14:paraId="01485160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📌</w:t>
      </w:r>
      <w:r>
        <w:rPr>
          <w:rFonts w:ascii="Segoe UI" w:hAnsi="Segoe UI" w:cs="Segoe UI"/>
          <w:sz w:val="30"/>
          <w:szCs w:val="30"/>
        </w:rPr>
        <w:t xml:space="preserve"> unclear ownership</w:t>
      </w:r>
    </w:p>
    <w:p w14:paraId="4E66867F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📌</w:t>
      </w:r>
      <w:r>
        <w:rPr>
          <w:rFonts w:ascii="Segoe UI" w:hAnsi="Segoe UI" w:cs="Segoe UI"/>
          <w:sz w:val="30"/>
          <w:szCs w:val="30"/>
        </w:rPr>
        <w:t xml:space="preserve"> messy data and weak governance</w:t>
      </w:r>
    </w:p>
    <w:p w14:paraId="4E429FF0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📌</w:t>
      </w:r>
      <w:r>
        <w:rPr>
          <w:rFonts w:ascii="Segoe UI" w:hAnsi="Segoe UI" w:cs="Segoe UI"/>
          <w:sz w:val="30"/>
          <w:szCs w:val="30"/>
        </w:rPr>
        <w:t xml:space="preserve"> no instrumentation for usage and outcomes</w:t>
      </w:r>
    </w:p>
    <w:p w14:paraId="6CFE8B68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📌</w:t>
      </w:r>
      <w:r>
        <w:rPr>
          <w:rFonts w:ascii="Segoe UI" w:hAnsi="Segoe UI" w:cs="Segoe UI"/>
          <w:sz w:val="30"/>
          <w:szCs w:val="30"/>
        </w:rPr>
        <w:t xml:space="preserve"> a rollout plan that confuses “access” with “adoption.”</w:t>
      </w:r>
    </w:p>
    <w:p w14:paraId="7C371115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7976004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If I were driving this like a RevOps/BI operating cadence, I’d translate “Tech Corps” into a repeatable execution model:</w:t>
      </w:r>
    </w:p>
    <w:p w14:paraId="354B705E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A2283BE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🧭</w:t>
      </w:r>
      <w:r>
        <w:rPr>
          <w:rFonts w:ascii="Segoe UI" w:hAnsi="Segoe UI" w:cs="Segoe UI"/>
          <w:sz w:val="30"/>
          <w:szCs w:val="30"/>
        </w:rPr>
        <w:t xml:space="preserve"> Choose 1 measurable workflow first</w:t>
      </w:r>
    </w:p>
    <w:p w14:paraId="0924CF57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Example: lead or support ticket routing, quote or discount approval, or faster ticket resolution.</w:t>
      </w:r>
    </w:p>
    <w:p w14:paraId="643302BD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3FCE71A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📊</w:t>
      </w:r>
      <w:r>
        <w:rPr>
          <w:rFonts w:ascii="Segoe UI" w:hAnsi="Segoe UI" w:cs="Segoe UI"/>
          <w:sz w:val="30"/>
          <w:szCs w:val="30"/>
        </w:rPr>
        <w:t xml:space="preserve"> Build the adoption funnel before you build the dashboard</w:t>
      </w:r>
    </w:p>
    <w:p w14:paraId="683A8D23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Enabled → activated → repeated → trusted → scaled.</w:t>
      </w:r>
    </w:p>
    <w:p w14:paraId="29455680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4143DB8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🧱</w:t>
      </w:r>
      <w:r>
        <w:rPr>
          <w:rFonts w:ascii="Segoe UI" w:hAnsi="Segoe UI" w:cs="Segoe UI"/>
          <w:sz w:val="30"/>
          <w:szCs w:val="30"/>
        </w:rPr>
        <w:t xml:space="preserve"> Ship governance as part of the product </w:t>
      </w:r>
    </w:p>
    <w:p w14:paraId="7790B826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Leverage product telemetry, track human override, and build audit trails from day one.</w:t>
      </w:r>
    </w:p>
    <w:p w14:paraId="05F570C3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3F38BFB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🧩</w:t>
      </w:r>
      <w:r>
        <w:rPr>
          <w:rFonts w:ascii="Segoe UI" w:hAnsi="Segoe UI" w:cs="Segoe UI"/>
          <w:sz w:val="30"/>
          <w:szCs w:val="30"/>
        </w:rPr>
        <w:t xml:space="preserve"> Standardize agents like you standardize CRM fields</w:t>
      </w:r>
    </w:p>
    <w:p w14:paraId="214DFD4B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If every team builds a different agent, you don’t have a system; you have a science fair.</w:t>
      </w:r>
    </w:p>
    <w:p w14:paraId="47FAE94F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7FD544FA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🤝</w:t>
      </w:r>
      <w:r>
        <w:rPr>
          <w:rFonts w:ascii="Segoe UI" w:hAnsi="Segoe UI" w:cs="Segoe UI"/>
          <w:sz w:val="30"/>
          <w:szCs w:val="30"/>
        </w:rPr>
        <w:t xml:space="preserve"> Enablement is the distribution channel</w:t>
      </w:r>
    </w:p>
    <w:p w14:paraId="33C41D63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Training + champions + playbooks beat another launch announcement.</w:t>
      </w:r>
    </w:p>
    <w:p w14:paraId="05A82E78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00B5A5B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Tech Corps makes one thing clear: the winners won’t just export AI. They’ll export the operating discipline at scale to make AI stick.</w:t>
      </w:r>
    </w:p>
    <w:p w14:paraId="6E9627B4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17E0BA5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If you run GTM, RevOps, or BI, where does “last-mile AI implementation” break in your org today, data, process, or change management?</w:t>
      </w:r>
    </w:p>
    <w:p w14:paraId="2B9177F5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06B3C2A1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Sources:</w:t>
      </w:r>
    </w:p>
    <w:p w14:paraId="393E5F0C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8D130EB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https://lnkd.in/gQtCTF24</w:t>
      </w:r>
    </w:p>
    <w:p w14:paraId="7C4E6DE0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https://lnkd.in/gXx-DUmp</w:t>
      </w:r>
    </w:p>
    <w:p w14:paraId="67DA27A7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https://lnkd.in/gas5bGdG</w:t>
      </w:r>
    </w:p>
    <w:p w14:paraId="3730267B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4D411D57" w14:textId="77777777" w:rsidR="000233E1" w:rsidRDefault="000233E1" w:rsidP="000233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#RevenueOperations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#GTM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#BusinessIntelligence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#Analytics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#ArtificialIntelligence</w:t>
      </w:r>
    </w:p>
    <w:p w14:paraId="79D5DAAF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E1"/>
    <w:rsid w:val="000233E1"/>
    <w:rsid w:val="000E4111"/>
    <w:rsid w:val="00260C82"/>
    <w:rsid w:val="002E007E"/>
    <w:rsid w:val="003808E6"/>
    <w:rsid w:val="003A5E3C"/>
    <w:rsid w:val="004B2793"/>
    <w:rsid w:val="005B6D11"/>
    <w:rsid w:val="006B3604"/>
    <w:rsid w:val="006D4891"/>
    <w:rsid w:val="00A70B3C"/>
    <w:rsid w:val="00B8291A"/>
    <w:rsid w:val="00B9674C"/>
    <w:rsid w:val="00D42BE3"/>
    <w:rsid w:val="00E660EA"/>
    <w:rsid w:val="00F7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39311"/>
  <w15:chartTrackingRefBased/>
  <w15:docId w15:val="{C9A69970-C5BB-134A-9EE2-7789A24D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3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33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1908</Characters>
  <Application>Microsoft Office Word</Application>
  <DocSecurity>0</DocSecurity>
  <Lines>63</Lines>
  <Paragraphs>30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2026-02-25T03:27:00Z</dcterms:created>
  <dcterms:modified xsi:type="dcterms:W3CDTF">2026-02-25T03:28:00Z</dcterms:modified>
</cp:coreProperties>
</file>