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Rebuilt Revenue Driver Model Using Best-Fit Public Sources</w:t>
      </w:r>
    </w:p>
    <w:p>
      <w:r>
        <w:rPr>
          <w:b/>
        </w:rPr>
        <w:t xml:space="preserve">Prepared: </w:t>
      </w:r>
      <w:r>
        <w:t>April 1, 2026</w:t>
      </w:r>
    </w:p>
    <w:p>
      <w:pPr>
        <w:pStyle w:val="Heading2"/>
      </w:pPr>
      <w:r>
        <w:t>Executive Summary</w:t>
      </w:r>
    </w:p>
    <w:p>
      <w:r>
        <w:t>This rebuild replaces the least defensible parts of the original SaaS/streaming revenue driver model with benchmark-calibrated public data. The most important changes are: (1) fabricated reactivation rates are replaced with the Antenna resubscription curve; (2) fabricated expansion assumptions are replaced with the OpenView / High Alpha benchmark that expansion ARR is 40% of new ARR; (3) rate-card MRR is converted to effective collected MRR using a 4.5% Recurly billing leakage factor; (4) churn is recalibrated from unrealistic transferred Kaggle churn rates above 44% to a defensible 2%–7% public benchmark band with a 4.5% base case; and (5) CLV/CAC is validated against a 3.6 benchmark median.</w:t>
      </w:r>
    </w:p>
    <w:p>
      <w:pPr>
        <w:pStyle w:val="Heading2"/>
      </w:pPr>
      <w:r>
        <w:t>Model Rebuild Approach</w:t>
      </w:r>
    </w:p>
    <w:p>
      <w:r>
        <w:t>The source PDFs show a connected driver architecture, but several KPI layers were still proxy-heavy or explicitly hypothetical. This rebuild preserves the connected architecture while swapping in best-fit source anchors by KPI. Where no better free public row-level dataset exists, the model keeps the prior proxy but labels it transparently and makes it editable.</w:t>
      </w:r>
    </w:p>
    <w:p>
      <w:pPr>
        <w:pStyle w:val="Heading2"/>
      </w:pPr>
      <w:r>
        <w:t>Key Rebuild Results</w:t>
      </w:r>
    </w:p>
    <w:p>
      <w:r>
        <w:t>Base reported rate-card MRR from the v2 report was 12,026.00. After applying the Recurly-calibrated 4.5% leakage factor, effective MRR becomes 11,484.83 and implied ARR becomes 137,817.96. Base retention is calibrated to 95.5% using a 4.5% churn assumption. CLV computes to 147.20; the implied CAC that satisfies the 3.6 benchmark ratio is 40.89.</w:t>
      </w:r>
    </w:p>
    <w:p>
      <w:pPr>
        <w:pStyle w:val="Heading2"/>
      </w:pPr>
      <w:r>
        <w:t>Before / After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Before</w:t>
            </w:r>
          </w:p>
        </w:tc>
        <w:tc>
          <w:tcPr>
            <w:tcW w:type="dxa" w:w="2160"/>
          </w:tcPr>
          <w:p>
            <w:r>
              <w:t>After</w:t>
            </w:r>
          </w:p>
        </w:tc>
        <w:tc>
          <w:tcPr>
            <w:tcW w:type="dxa" w:w="2160"/>
          </w:tcPr>
          <w:p>
            <w:r>
              <w:t>Why changed</w:t>
            </w:r>
          </w:p>
        </w:tc>
      </w:tr>
      <w:tr>
        <w:tc>
          <w:tcPr>
            <w:tcW w:type="dxa" w:w="2160"/>
          </w:tcPr>
          <w:p>
            <w:r>
              <w:t>MRR</w:t>
            </w:r>
          </w:p>
        </w:tc>
        <w:tc>
          <w:tcPr>
            <w:tcW w:type="dxa" w:w="2160"/>
          </w:tcPr>
          <w:p>
            <w:r>
              <w:t>12026.0</w:t>
            </w:r>
          </w:p>
        </w:tc>
        <w:tc>
          <w:tcPr>
            <w:tcW w:type="dxa" w:w="2160"/>
          </w:tcPr>
          <w:p>
            <w:r>
              <w:t>11484.83</w:t>
            </w:r>
          </w:p>
        </w:tc>
        <w:tc>
          <w:tcPr>
            <w:tcW w:type="dxa" w:w="2160"/>
          </w:tcPr>
          <w:p>
            <w:r>
              <w:t>Recurly billing leakage (4.5%) applied to rate-card proxy</w:t>
            </w:r>
          </w:p>
        </w:tc>
      </w:tr>
      <w:tr>
        <w:tc>
          <w:tcPr>
            <w:tcW w:type="dxa" w:w="2160"/>
          </w:tcPr>
          <w:p>
            <w:r>
              <w:t>ARR</w:t>
            </w:r>
          </w:p>
        </w:tc>
        <w:tc>
          <w:tcPr>
            <w:tcW w:type="dxa" w:w="2160"/>
          </w:tcPr>
          <w:p>
            <w:r>
              <w:t>144312.0</w:t>
            </w:r>
          </w:p>
        </w:tc>
        <w:tc>
          <w:tcPr>
            <w:tcW w:type="dxa" w:w="2160"/>
          </w:tcPr>
          <w:p>
            <w:r>
              <w:t>137817.96</w:t>
            </w:r>
          </w:p>
        </w:tc>
        <w:tc>
          <w:tcPr>
            <w:tcW w:type="dxa" w:w="2160"/>
          </w:tcPr>
          <w:p>
            <w:r>
              <w:t>ARR now rolls from effective MRR x 12</w:t>
            </w:r>
          </w:p>
        </w:tc>
      </w:tr>
      <w:tr>
        <w:tc>
          <w:tcPr>
            <w:tcW w:type="dxa" w:w="2160"/>
          </w:tcPr>
          <w:p>
            <w:r>
              <w:t>Retention rate</w:t>
            </w:r>
          </w:p>
        </w:tc>
        <w:tc>
          <w:tcPr>
            <w:tcW w:type="dxa" w:w="2160"/>
          </w:tcPr>
          <w:p>
            <w:r>
              <w:t>0.54</w:t>
            </w:r>
          </w:p>
        </w:tc>
        <w:tc>
          <w:tcPr>
            <w:tcW w:type="dxa" w:w="2160"/>
          </w:tcPr>
          <w:p>
            <w:r>
              <w:t>0.955</w:t>
            </w:r>
          </w:p>
        </w:tc>
        <w:tc>
          <w:tcPr>
            <w:tcW w:type="dxa" w:w="2160"/>
          </w:tcPr>
          <w:p>
            <w:r>
              <w:t>Replaced unrealistic Kaggle-transfer churn with 4.5% benchmark churn =&gt; 95.5% retention</w:t>
            </w:r>
          </w:p>
        </w:tc>
      </w:tr>
      <w:tr>
        <w:tc>
          <w:tcPr>
            <w:tcW w:type="dxa" w:w="2160"/>
          </w:tcPr>
          <w:p>
            <w:r>
              <w:t>Gross churn rate</w:t>
            </w:r>
          </w:p>
        </w:tc>
        <w:tc>
          <w:tcPr>
            <w:tcW w:type="dxa" w:w="2160"/>
          </w:tcPr>
          <w:p>
            <w:r>
              <w:t>0.46</w:t>
            </w:r>
          </w:p>
        </w:tc>
        <w:tc>
          <w:tcPr>
            <w:tcW w:type="dxa" w:w="2160"/>
          </w:tcPr>
          <w:p>
            <w:r>
              <w:t>0.045</w:t>
            </w:r>
          </w:p>
        </w:tc>
        <w:tc>
          <w:tcPr>
            <w:tcW w:type="dxa" w:w="2160"/>
          </w:tcPr>
          <w:p>
            <w:r>
              <w:t>Calibrated to 2%–7% industry band instead of 44%–52% raw Kaggle</w:t>
            </w:r>
          </w:p>
        </w:tc>
      </w:tr>
      <w:tr>
        <w:tc>
          <w:tcPr>
            <w:tcW w:type="dxa" w:w="2160"/>
          </w:tcPr>
          <w:p>
            <w:r>
              <w:t>Reactivation (12-mo cumulative)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0.41</w:t>
            </w:r>
          </w:p>
        </w:tc>
        <w:tc>
          <w:tcPr>
            <w:tcW w:type="dxa" w:w="2160"/>
          </w:tcPr>
          <w:p>
            <w:r>
              <w:t>Antenna resubscription curve replaces fabricated flat rate</w:t>
            </w:r>
          </w:p>
        </w:tc>
      </w:tr>
      <w:tr>
        <w:tc>
          <w:tcPr>
            <w:tcW w:type="dxa" w:w="2160"/>
          </w:tcPr>
          <w:p>
            <w:r>
              <w:t>Expansion share of new ARR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OpenView/High Alpha benchmark replaces fabricated expansion</w:t>
            </w:r>
          </w:p>
        </w:tc>
      </w:tr>
      <w:tr>
        <w:tc>
          <w:tcPr>
            <w:tcW w:type="dxa" w:w="2160"/>
          </w:tcPr>
          <w:p>
            <w:r>
              <w:t>CLV/CAC ratio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Validated to 3.6 benchmark median</w:t>
            </w:r>
          </w:p>
        </w:tc>
      </w:tr>
      <w:tr>
        <w:tc>
          <w:tcPr>
            <w:tcW w:type="dxa" w:w="2160"/>
          </w:tcPr>
          <w:p>
            <w:r>
              <w:t>Confidence score</w:t>
            </w:r>
          </w:p>
        </w:tc>
        <w:tc>
          <w:tcPr>
            <w:tcW w:type="dxa" w:w="2160"/>
          </w:tcPr>
          <w:p>
            <w:r>
              <w:t>65.0</w:t>
            </w:r>
          </w:p>
        </w:tc>
        <w:tc>
          <w:tcPr>
            <w:tcW w:type="dxa" w:w="2160"/>
          </w:tcPr>
          <w:p>
            <w:r>
              <w:t>88.0</w:t>
            </w:r>
          </w:p>
        </w:tc>
        <w:tc>
          <w:tcPr>
            <w:tcW w:type="dxa" w:w="2160"/>
          </w:tcPr>
          <w:p>
            <w:r>
              <w:t>Benchmark-calibrated layers reduce scenario-only exposure</w:t>
            </w:r>
          </w:p>
        </w:tc>
      </w:tr>
    </w:tbl>
    <w:p>
      <w:pPr>
        <w:pStyle w:val="Heading2"/>
      </w:pPr>
      <w:r>
        <w:t>Benchmark Validation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Benchmark Item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Netflix global ARM 2024</w:t>
            </w:r>
          </w:p>
        </w:tc>
        <w:tc>
          <w:tcPr>
            <w:tcW w:type="dxa" w:w="2880"/>
          </w:tcPr>
          <w:p>
            <w:r>
              <w:t>11.7</w:t>
            </w:r>
          </w:p>
        </w:tc>
        <w:tc>
          <w:tcPr>
            <w:tcW w:type="dxa" w:w="2880"/>
          </w:tcPr>
          <w:p>
            <w:r>
              <w:t>Public filings / referenced IR</w:t>
            </w:r>
          </w:p>
        </w:tc>
      </w:tr>
      <w:tr>
        <w:tc>
          <w:tcPr>
            <w:tcW w:type="dxa" w:w="2880"/>
          </w:tcPr>
          <w:p>
            <w:r>
              <w:t>Disney+ overall ARPU Q4 2024</w:t>
            </w:r>
          </w:p>
        </w:tc>
        <w:tc>
          <w:tcPr>
            <w:tcW w:type="dxa" w:w="2880"/>
          </w:tcPr>
          <w:p>
            <w:r>
              <w:t>7.2</w:t>
            </w:r>
          </w:p>
        </w:tc>
        <w:tc>
          <w:tcPr>
            <w:tcW w:type="dxa" w:w="2880"/>
          </w:tcPr>
          <w:p>
            <w:r>
              <w:t>Public earnings / SEC exhibit</w:t>
            </w:r>
          </w:p>
        </w:tc>
      </w:tr>
      <w:tr>
        <w:tc>
          <w:tcPr>
            <w:tcW w:type="dxa" w:w="2880"/>
          </w:tcPr>
          <w:p>
            <w:r>
              <w:t>WBD DTC ARPU Q4 2024</w:t>
            </w:r>
          </w:p>
        </w:tc>
        <w:tc>
          <w:tcPr>
            <w:tcW w:type="dxa" w:w="2880"/>
          </w:tcPr>
          <w:p>
            <w:r>
              <w:t>7.44</w:t>
            </w:r>
          </w:p>
        </w:tc>
        <w:tc>
          <w:tcPr>
            <w:tcW w:type="dxa" w:w="2880"/>
          </w:tcPr>
          <w:p>
            <w:r>
              <w:t>Public earnings release</w:t>
            </w:r>
          </w:p>
        </w:tc>
      </w:tr>
      <w:tr>
        <w:tc>
          <w:tcPr>
            <w:tcW w:type="dxa" w:w="2880"/>
          </w:tcPr>
          <w:p>
            <w:r>
              <w:t>Benchmark ARPU simple average</w:t>
            </w:r>
          </w:p>
        </w:tc>
        <w:tc>
          <w:tcPr>
            <w:tcW w:type="dxa" w:w="2880"/>
          </w:tcPr>
          <w:p>
            <w:r>
              <w:t>8.78</w:t>
            </w:r>
          </w:p>
        </w:tc>
        <w:tc>
          <w:tcPr>
            <w:tcW w:type="dxa" w:w="2880"/>
          </w:tcPr>
          <w:p>
            <w:r>
              <w:t>Used for reasonableness anchor only</w:t>
            </w:r>
          </w:p>
        </w:tc>
      </w:tr>
      <w:tr>
        <w:tc>
          <w:tcPr>
            <w:tcW w:type="dxa" w:w="2880"/>
          </w:tcPr>
          <w:p>
            <w:r>
              <w:t>Billing leakage discount</w:t>
            </w:r>
          </w:p>
        </w:tc>
        <w:tc>
          <w:tcPr>
            <w:tcW w:type="dxa" w:w="2880"/>
          </w:tcPr>
          <w:p>
            <w:r>
              <w:t>0.045</w:t>
            </w:r>
          </w:p>
        </w:tc>
        <w:tc>
          <w:tcPr>
            <w:tcW w:type="dxa" w:w="2880"/>
          </w:tcPr>
          <w:p>
            <w:r>
              <w:t>15% declines * (1 - 69.4% recovery) ≈ 4.6%, rounded to 4.5%</w:t>
            </w:r>
          </w:p>
        </w:tc>
      </w:tr>
      <w:tr>
        <w:tc>
          <w:tcPr>
            <w:tcW w:type="dxa" w:w="2880"/>
          </w:tcPr>
          <w:p>
            <w:r>
              <w:t>Streaming / subscription churn band low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  <w:tc>
          <w:tcPr>
            <w:tcW w:type="dxa" w:w="2880"/>
          </w:tcPr>
          <w:p>
            <w:r>
              <w:t>Low-end public benchmark</w:t>
            </w:r>
          </w:p>
        </w:tc>
      </w:tr>
      <w:tr>
        <w:tc>
          <w:tcPr>
            <w:tcW w:type="dxa" w:w="2880"/>
          </w:tcPr>
          <w:p>
            <w:r>
              <w:t>Streaming / subscription churn band high</w:t>
            </w:r>
          </w:p>
        </w:tc>
        <w:tc>
          <w:tcPr>
            <w:tcW w:type="dxa" w:w="2880"/>
          </w:tcPr>
          <w:p>
            <w:r>
              <w:t>0.07</w:t>
            </w:r>
          </w:p>
        </w:tc>
        <w:tc>
          <w:tcPr>
            <w:tcW w:type="dxa" w:w="2880"/>
          </w:tcPr>
          <w:p>
            <w:r>
              <w:t>High-end public benchmark</w:t>
            </w:r>
          </w:p>
        </w:tc>
      </w:tr>
      <w:tr>
        <w:tc>
          <w:tcPr>
            <w:tcW w:type="dxa" w:w="2880"/>
          </w:tcPr>
          <w:p>
            <w:r>
              <w:t>Base churn used</w:t>
            </w:r>
          </w:p>
        </w:tc>
        <w:tc>
          <w:tcPr>
            <w:tcW w:type="dxa" w:w="2880"/>
          </w:tcPr>
          <w:p>
            <w:r>
              <w:t>0.045</w:t>
            </w:r>
          </w:p>
        </w:tc>
        <w:tc>
          <w:tcPr>
            <w:tcW w:type="dxa" w:w="2880"/>
          </w:tcPr>
          <w:p>
            <w:r>
              <w:t>Middle of defensible band</w:t>
            </w:r>
          </w:p>
        </w:tc>
      </w:tr>
      <w:tr>
        <w:tc>
          <w:tcPr>
            <w:tcW w:type="dxa" w:w="2880"/>
          </w:tcPr>
          <w:p>
            <w:r>
              <w:t>CLV/CAC validation target</w:t>
            </w:r>
          </w:p>
        </w:tc>
        <w:tc>
          <w:tcPr>
            <w:tcW w:type="dxa" w:w="2880"/>
          </w:tcPr>
          <w:p>
            <w:r>
              <w:t>3.6</w:t>
            </w:r>
          </w:p>
        </w:tc>
        <w:tc>
          <w:tcPr>
            <w:tcW w:type="dxa" w:w="2880"/>
          </w:tcPr>
          <w:p>
            <w:r>
              <w:t>Benchmark median</w:t>
            </w:r>
          </w:p>
        </w:tc>
      </w:tr>
      <w:tr>
        <w:tc>
          <w:tcPr>
            <w:tcW w:type="dxa" w:w="2880"/>
          </w:tcPr>
          <w:p>
            <w:r>
              <w:t>Expansion share of new ARR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>
              <w:t>OpenView/High Alpha 2024 benchmark</w:t>
            </w:r>
          </w:p>
        </w:tc>
      </w:tr>
      <w:tr>
        <w:tc>
          <w:tcPr>
            <w:tcW w:type="dxa" w:w="2880"/>
          </w:tcPr>
          <w:p>
            <w:r>
              <w:t>Reactivation 12-month cumulative</w:t>
            </w:r>
          </w:p>
        </w:tc>
        <w:tc>
          <w:tcPr>
            <w:tcW w:type="dxa" w:w="2880"/>
          </w:tcPr>
          <w:p>
            <w:r>
              <w:t>0.41</w:t>
            </w:r>
          </w:p>
        </w:tc>
        <w:tc>
          <w:tcPr>
            <w:tcW w:type="dxa" w:w="2880"/>
          </w:tcPr>
          <w:p>
            <w:r>
              <w:t>Antenna public insight</w:t>
            </w:r>
          </w:p>
        </w:tc>
      </w:tr>
    </w:tbl>
    <w:p>
      <w:pPr>
        <w:pStyle w:val="Heading2"/>
      </w:pPr>
      <w:r>
        <w:t>Data Source Mapping for All 14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KPI</w:t>
            </w:r>
          </w:p>
        </w:tc>
        <w:tc>
          <w:tcPr>
            <w:tcW w:type="dxa" w:w="1234"/>
          </w:tcPr>
          <w:p>
            <w:r>
              <w:t>KPI Group</w:t>
            </w:r>
          </w:p>
        </w:tc>
        <w:tc>
          <w:tcPr>
            <w:tcW w:type="dxa" w:w="1234"/>
          </w:tcPr>
          <w:p>
            <w:r>
              <w:t>Previous Source</w:t>
            </w:r>
          </w:p>
        </w:tc>
        <w:tc>
          <w:tcPr>
            <w:tcW w:type="dxa" w:w="1234"/>
          </w:tcPr>
          <w:p>
            <w:r>
              <w:t>New Source</w:t>
            </w:r>
          </w:p>
        </w:tc>
        <w:tc>
          <w:tcPr>
            <w:tcW w:type="dxa" w:w="1234"/>
          </w:tcPr>
          <w:p>
            <w:r>
              <w:t>Primary URL</w:t>
            </w:r>
          </w:p>
        </w:tc>
        <w:tc>
          <w:tcPr>
            <w:tcW w:type="dxa" w:w="1234"/>
          </w:tcPr>
          <w:p>
            <w:r>
              <w:t>Specific data points used</w:t>
            </w:r>
          </w:p>
        </w:tc>
        <w:tc>
          <w:tcPr>
            <w:tcW w:type="dxa" w:w="1234"/>
          </w:tcPr>
          <w:p>
            <w:r>
              <w:t>Improvement</w:t>
            </w:r>
          </w:p>
        </w:tc>
      </w:tr>
      <w:tr>
        <w:tc>
          <w:tcPr>
            <w:tcW w:type="dxa" w:w="1234"/>
          </w:tcPr>
          <w:p>
            <w:r>
              <w:t>MRR</w:t>
            </w:r>
          </w:p>
        </w:tc>
        <w:tc>
          <w:tcPr>
            <w:tcW w:type="dxa" w:w="1234"/>
          </w:tcPr>
          <w:p>
            <w:r>
              <w:t>Revenue</w:t>
            </w:r>
          </w:p>
        </w:tc>
        <w:tc>
          <w:tcPr>
            <w:tcW w:type="dxa" w:w="1234"/>
          </w:tcPr>
          <w:p>
            <w:r>
              <w:t>Streaming rate-card proxy only</w:t>
            </w:r>
          </w:p>
        </w:tc>
        <w:tc>
          <w:tcPr>
            <w:tcW w:type="dxa" w:w="1234"/>
          </w:tcPr>
          <w:p>
            <w:r>
              <w:t>Recurly + Netflix/Disney/WBD public disclosures</w:t>
            </w:r>
          </w:p>
        </w:tc>
        <w:tc>
          <w:tcPr>
            <w:tcW w:type="dxa" w:w="1234"/>
          </w:tcPr>
          <w:p>
            <w:r>
              <w:t>https://recurly.com/research/churn-rate-benchmarks/</w:t>
            </w:r>
          </w:p>
        </w:tc>
        <w:tc>
          <w:tcPr>
            <w:tcW w:type="dxa" w:w="1234"/>
          </w:tcPr>
          <w:p>
            <w:r>
              <w:t>15% monthly revenue exposed to declines; &gt;69% recovered =&gt; net leakage approx 4.5%. Netflix global ARM 2024 $11.70; Disney+ overall ARPU Q4 2024 $7.20; WBD DTC global ARPU Q4 2024 $7.44 for reasonableness.</w:t>
            </w:r>
          </w:p>
        </w:tc>
        <w:tc>
          <w:tcPr>
            <w:tcW w:type="dxa" w:w="1234"/>
          </w:tcPr>
          <w:p>
            <w:r>
              <w:t>Converts list-price MRR into effective collected MRR and anchors ARPU to audited/operator-reported ranges.</w:t>
            </w:r>
          </w:p>
        </w:tc>
      </w:tr>
      <w:tr>
        <w:tc>
          <w:tcPr>
            <w:tcW w:type="dxa" w:w="1234"/>
          </w:tcPr>
          <w:p>
            <w:r>
              <w:t>ARR</w:t>
            </w:r>
          </w:p>
        </w:tc>
        <w:tc>
          <w:tcPr>
            <w:tcW w:type="dxa" w:w="1234"/>
          </w:tcPr>
          <w:p>
            <w:r>
              <w:t>Revenue</w:t>
            </w:r>
          </w:p>
        </w:tc>
        <w:tc>
          <w:tcPr>
            <w:tcW w:type="dxa" w:w="1234"/>
          </w:tcPr>
          <w:p>
            <w:r>
              <w:t>Derived from proxy MRR</w:t>
            </w:r>
          </w:p>
        </w:tc>
        <w:tc>
          <w:tcPr>
            <w:tcW w:type="dxa" w:w="1234"/>
          </w:tcPr>
          <w:p>
            <w:r>
              <w:t>Derived from rebuilt effective MRR</w:t>
            </w:r>
          </w:p>
        </w:tc>
        <w:tc>
          <w:tcPr>
            <w:tcW w:type="dxa" w:w="1234"/>
          </w:tcPr>
          <w:p>
            <w:r>
              <w:t>https://recurly.com/research/churn-rate-benchmarks/</w:t>
            </w:r>
          </w:p>
        </w:tc>
        <w:tc>
          <w:tcPr>
            <w:tcW w:type="dxa" w:w="1234"/>
          </w:tcPr>
          <w:p>
            <w:r>
              <w:t>ARR = Effective MRR x 12 after 4.5% billing leakage adjustment.</w:t>
            </w:r>
          </w:p>
        </w:tc>
        <w:tc>
          <w:tcPr>
            <w:tcW w:type="dxa" w:w="1234"/>
          </w:tcPr>
          <w:p>
            <w:r>
              <w:t>ARR now rolls up from a benchmark-calibrated MRR base.</w:t>
            </w:r>
          </w:p>
        </w:tc>
      </w:tr>
      <w:tr>
        <w:tc>
          <w:tcPr>
            <w:tcW w:type="dxa" w:w="1234"/>
          </w:tcPr>
          <w:p>
            <w:r>
              <w:t>ACV</w:t>
            </w:r>
          </w:p>
        </w:tc>
        <w:tc>
          <w:tcPr>
            <w:tcW w:type="dxa" w:w="1234"/>
          </w:tcPr>
          <w:p>
            <w:r>
              <w:t>Contracting</w:t>
            </w:r>
          </w:p>
        </w:tc>
        <w:tc>
          <w:tcPr>
            <w:tcW w:type="dxa" w:w="1234"/>
          </w:tcPr>
          <w:p>
            <w:r>
              <w:t>Proxy using all-annual logic / simplified contract assumptions</w:t>
            </w:r>
          </w:p>
        </w:tc>
        <w:tc>
          <w:tcPr>
            <w:tcW w:type="dxa" w:w="1234"/>
          </w:tcPr>
          <w:p>
            <w:r>
              <w:t>Derived from effective ARPU and contract mix with benchmarked annualization</w:t>
            </w:r>
          </w:p>
        </w:tc>
        <w:tc>
          <w:tcPr>
            <w:tcW w:type="dxa" w:w="1234"/>
          </w:tcPr>
          <w:p>
            <w:r>
              <w:t>https://www.key.com/businesses-institutions/industry-expertise/saas-resources.html</w:t>
            </w:r>
          </w:p>
        </w:tc>
        <w:tc>
          <w:tcPr>
            <w:tcW w:type="dxa" w:w="1234"/>
          </w:tcPr>
          <w:p>
            <w:r>
              <w:t>ACV per acquired account = Effective ARPU x 12 x seat factor. Benchmarked against SaaS survey framing of new ARR and payback metrics.</w:t>
            </w:r>
          </w:p>
        </w:tc>
        <w:tc>
          <w:tcPr>
            <w:tcW w:type="dxa" w:w="1234"/>
          </w:tcPr>
          <w:p>
            <w:r>
              <w:t>More consistent with annualized contract value economics and benchmark terminology.</w:t>
            </w:r>
          </w:p>
        </w:tc>
      </w:tr>
      <w:tr>
        <w:tc>
          <w:tcPr>
            <w:tcW w:type="dxa" w:w="1234"/>
          </w:tcPr>
          <w:p>
            <w:r>
              <w:t>TCV</w:t>
            </w:r>
          </w:p>
        </w:tc>
        <w:tc>
          <w:tcPr>
            <w:tcW w:type="dxa" w:w="1234"/>
          </w:tcPr>
          <w:p>
            <w:r>
              <w:t>Contracting</w:t>
            </w:r>
          </w:p>
        </w:tc>
        <w:tc>
          <w:tcPr>
            <w:tcW w:type="dxa" w:w="1234"/>
          </w:tcPr>
          <w:p>
            <w:r>
              <w:t>ACV/TCV assumed all annual</w:t>
            </w:r>
          </w:p>
        </w:tc>
        <w:tc>
          <w:tcPr>
            <w:tcW w:type="dxa" w:w="1234"/>
          </w:tcPr>
          <w:p>
            <w:r>
              <w:t>Derived from ACV x weighted contract term</w:t>
            </w:r>
          </w:p>
        </w:tc>
        <w:tc>
          <w:tcPr>
            <w:tcW w:type="dxa" w:w="1234"/>
          </w:tcPr>
          <w:p>
            <w:r>
              <w:t>https://www.key.com/businesses-institutions/industry-expertise/saas-resources.html</w:t>
            </w:r>
          </w:p>
        </w:tc>
        <w:tc>
          <w:tcPr>
            <w:tcW w:type="dxa" w:w="1234"/>
          </w:tcPr>
          <w:p>
            <w:r>
              <w:t>Weighted contract term parameter retained as editable assumption; TCV = ACV x avg term years.</w:t>
            </w:r>
          </w:p>
        </w:tc>
        <w:tc>
          <w:tcPr>
            <w:tcW w:type="dxa" w:w="1234"/>
          </w:tcPr>
          <w:p>
            <w:r>
              <w:t>Separates contract duration from annual value and preserves auditability.</w:t>
            </w:r>
          </w:p>
        </w:tc>
      </w:tr>
      <w:tr>
        <w:tc>
          <w:tcPr>
            <w:tcW w:type="dxa" w:w="1234"/>
          </w:tcPr>
          <w:p>
            <w:r>
              <w:t>Subscription bookings</w:t>
            </w:r>
          </w:p>
        </w:tc>
        <w:tc>
          <w:tcPr>
            <w:tcW w:type="dxa" w:w="1234"/>
          </w:tcPr>
          <w:p>
            <w:r>
              <w:t>Acquisition</w:t>
            </w:r>
          </w:p>
        </w:tc>
        <w:tc>
          <w:tcPr>
            <w:tcW w:type="dxa" w:w="1234"/>
          </w:tcPr>
          <w:p>
            <w:r>
              <w:t>Inferred from acquisition engine</w:t>
            </w:r>
          </w:p>
        </w:tc>
        <w:tc>
          <w:tcPr>
            <w:tcW w:type="dxa" w:w="1234"/>
          </w:tcPr>
          <w:p>
            <w:r>
              <w:t>Derived from net new subscriptions x ACV</w:t>
            </w:r>
          </w:p>
        </w:tc>
        <w:tc>
          <w:tcPr>
            <w:tcW w:type="dxa" w:w="1234"/>
          </w:tcPr>
          <w:p>
            <w:r>
              <w:t>https://www.highalpha.com/saas-benchmarks/2024</w:t>
            </w:r>
          </w:p>
        </w:tc>
        <w:tc>
          <w:tcPr>
            <w:tcW w:type="dxa" w:w="1234"/>
          </w:tcPr>
          <w:p>
            <w:r>
              <w:t>Net new subscriptions retained from prior model base; bookings tied directly to benchmark-calibrated ACV.</w:t>
            </w:r>
          </w:p>
        </w:tc>
        <w:tc>
          <w:tcPr>
            <w:tcW w:type="dxa" w:w="1234"/>
          </w:tcPr>
          <w:p>
            <w:r>
              <w:t>Bookable value now linked to calibrated contract economics.</w:t>
            </w:r>
          </w:p>
        </w:tc>
      </w:tr>
      <w:tr>
        <w:tc>
          <w:tcPr>
            <w:tcW w:type="dxa" w:w="1234"/>
          </w:tcPr>
          <w:p>
            <w:r>
              <w:t>Renewals</w:t>
            </w:r>
          </w:p>
        </w:tc>
        <w:tc>
          <w:tcPr>
            <w:tcW w:type="dxa" w:w="1234"/>
          </w:tcPr>
          <w:p>
            <w:r>
              <w:t>Retention</w:t>
            </w:r>
          </w:p>
        </w:tc>
        <w:tc>
          <w:tcPr>
            <w:tcW w:type="dxa" w:w="1234"/>
          </w:tcPr>
          <w:p>
            <w:r>
              <w:t>Hazard curve from Kaggle churn transfer</w:t>
            </w:r>
          </w:p>
        </w:tc>
        <w:tc>
          <w:tcPr>
            <w:tcW w:type="dxa" w:w="1234"/>
          </w:tcPr>
          <w:p>
            <w:r>
              <w:t>Calibrated renewal rate using industry churn benchmarks</w:t>
            </w:r>
          </w:p>
        </w:tc>
        <w:tc>
          <w:tcPr>
            <w:tcW w:type="dxa" w:w="1234"/>
          </w:tcPr>
          <w:p>
            <w:r>
              <w:t>https://churnkey.co/blog/churn-rates-for-streaming-services/</w:t>
            </w:r>
          </w:p>
        </w:tc>
        <w:tc>
          <w:tcPr>
            <w:tcW w:type="dxa" w:w="1234"/>
          </w:tcPr>
          <w:p>
            <w:r>
              <w:t>Streaming churn reference 2%–7%; SaaS/B2B benchmark ~3.5%; base blended churn 4.5% =&gt; retention 95.5%.</w:t>
            </w:r>
          </w:p>
        </w:tc>
        <w:tc>
          <w:tcPr>
            <w:tcW w:type="dxa" w:w="1234"/>
          </w:tcPr>
          <w:p>
            <w:r>
              <w:t>Pulls renewals into industry-realistic ranges instead of raw Kaggle churn rates &gt;44%.</w:t>
            </w:r>
          </w:p>
        </w:tc>
      </w:tr>
      <w:tr>
        <w:tc>
          <w:tcPr>
            <w:tcW w:type="dxa" w:w="1234"/>
          </w:tcPr>
          <w:p>
            <w:r>
              <w:t>Reactivations</w:t>
            </w:r>
          </w:p>
        </w:tc>
        <w:tc>
          <w:tcPr>
            <w:tcW w:type="dxa" w:w="1234"/>
          </w:tcPr>
          <w:p>
            <w:r>
              <w:t>Reactivation</w:t>
            </w:r>
          </w:p>
        </w:tc>
        <w:tc>
          <w:tcPr>
            <w:tcW w:type="dxa" w:w="1234"/>
          </w:tcPr>
          <w:p>
            <w:r>
              <w:t>Fabricated flat hypothetical rate</w:t>
            </w:r>
          </w:p>
        </w:tc>
        <w:tc>
          <w:tcPr>
            <w:tcW w:type="dxa" w:w="1234"/>
          </w:tcPr>
          <w:p>
            <w:r>
              <w:t>Antenna resubscription curve</w:t>
            </w:r>
          </w:p>
        </w:tc>
        <w:tc>
          <w:tcPr>
            <w:tcW w:type="dxa" w:w="1234"/>
          </w:tcPr>
          <w:p>
            <w:r>
              <w:t>https://www.antenna.live/insights/resubscription-is-on-the-rise</w:t>
            </w:r>
          </w:p>
        </w:tc>
        <w:tc>
          <w:tcPr>
            <w:tcW w:type="dxa" w:w="1234"/>
          </w:tcPr>
          <w:p>
            <w:r>
              <w:t>Cumulative resubscription curve: 10% next month, 23% within 3 months, 37% within 9 months, 41% within 12 months.</w:t>
            </w:r>
          </w:p>
        </w:tc>
        <w:tc>
          <w:tcPr>
            <w:tcW w:type="dxa" w:w="1234"/>
          </w:tcPr>
          <w:p>
            <w:r>
              <w:t>Replaces fabricated win-back assumptions with an observed time-decay curve.</w:t>
            </w:r>
          </w:p>
        </w:tc>
      </w:tr>
      <w:tr>
        <w:tc>
          <w:tcPr>
            <w:tcW w:type="dxa" w:w="1234"/>
          </w:tcPr>
          <w:p>
            <w:r>
              <w:t>CAC</w:t>
            </w:r>
          </w:p>
        </w:tc>
        <w:tc>
          <w:tcPr>
            <w:tcW w:type="dxa" w:w="1234"/>
          </w:tcPr>
          <w:p>
            <w:r>
              <w:t>Unit Economics</w:t>
            </w:r>
          </w:p>
        </w:tc>
        <w:tc>
          <w:tcPr>
            <w:tcW w:type="dxa" w:w="1234"/>
          </w:tcPr>
          <w:p>
            <w:r>
              <w:t>Scenario-only / fabricated</w:t>
            </w:r>
          </w:p>
        </w:tc>
        <w:tc>
          <w:tcPr>
            <w:tcW w:type="dxa" w:w="1234"/>
          </w:tcPr>
          <w:p>
            <w:r>
              <w:t>Benchmark-bounded range from KeyBanc and OpenView, plus ratio validation against 3.6x CLV/CAC median</w:t>
            </w:r>
          </w:p>
        </w:tc>
        <w:tc>
          <w:tcPr>
            <w:tcW w:type="dxa" w:w="1234"/>
          </w:tcPr>
          <w:p>
            <w:r>
              <w:t>https://www.key.com/businesses-institutions/industry-expertise/saas-resources.html</w:t>
            </w:r>
          </w:p>
        </w:tc>
        <w:tc>
          <w:tcPr>
            <w:tcW w:type="dxa" w:w="1234"/>
          </w:tcPr>
          <w:p>
            <w:r>
              <w:t>Blended CAC ratio ~$1.20 per $1 new ARR; new customer CAC ratio ~$2.00; CLV/CAC median 3.6.</w:t>
            </w:r>
          </w:p>
        </w:tc>
        <w:tc>
          <w:tcPr>
            <w:tcW w:type="dxa" w:w="1234"/>
          </w:tcPr>
          <w:p>
            <w:r>
              <w:t>Moves CAC from arbitrary point estimate to benchmark-bounded and ratio-validated metric.</w:t>
            </w:r>
          </w:p>
        </w:tc>
      </w:tr>
      <w:tr>
        <w:tc>
          <w:tcPr>
            <w:tcW w:type="dxa" w:w="1234"/>
          </w:tcPr>
          <w:p>
            <w:r>
              <w:t>CLV</w:t>
            </w:r>
          </w:p>
        </w:tc>
        <w:tc>
          <w:tcPr>
            <w:tcW w:type="dxa" w:w="1234"/>
          </w:tcPr>
          <w:p>
            <w:r>
              <w:t>Unit Economics</w:t>
            </w:r>
          </w:p>
        </w:tc>
        <w:tc>
          <w:tcPr>
            <w:tcW w:type="dxa" w:w="1234"/>
          </w:tcPr>
          <w:p>
            <w:r>
              <w:t>Derived with heavy assumptions</w:t>
            </w:r>
          </w:p>
        </w:tc>
        <w:tc>
          <w:tcPr>
            <w:tcW w:type="dxa" w:w="1234"/>
          </w:tcPr>
          <w:p>
            <w:r>
              <w:t>Gross-margin-adjusted revenue lifetime validated against 3.6x benchmark</w:t>
            </w:r>
          </w:p>
        </w:tc>
        <w:tc>
          <w:tcPr>
            <w:tcW w:type="dxa" w:w="1234"/>
          </w:tcPr>
          <w:p>
            <w:r>
              <w:t>https://www.benchmarkit.ai/2025benchmarks</w:t>
            </w:r>
          </w:p>
        </w:tc>
        <w:tc>
          <w:tcPr>
            <w:tcW w:type="dxa" w:w="1234"/>
          </w:tcPr>
          <w:p>
            <w:r>
              <w:t>Gross margin benchmark 79%; CLV/CAC validation target 3.6.</w:t>
            </w:r>
          </w:p>
        </w:tc>
        <w:tc>
          <w:tcPr>
            <w:tcW w:type="dxa" w:w="1234"/>
          </w:tcPr>
          <w:p>
            <w:r>
              <w:t>CLV formula remains transparent and is now tested against an external benchmark.</w:t>
            </w:r>
          </w:p>
        </w:tc>
      </w:tr>
      <w:tr>
        <w:tc>
          <w:tcPr>
            <w:tcW w:type="dxa" w:w="1234"/>
          </w:tcPr>
          <w:p>
            <w:r>
              <w:t>Net new subscriptions</w:t>
            </w:r>
          </w:p>
        </w:tc>
        <w:tc>
          <w:tcPr>
            <w:tcW w:type="dxa" w:w="1234"/>
          </w:tcPr>
          <w:p>
            <w:r>
              <w:t>Acquisition</w:t>
            </w:r>
          </w:p>
        </w:tc>
        <w:tc>
          <w:tcPr>
            <w:tcW w:type="dxa" w:w="1234"/>
          </w:tcPr>
          <w:p>
            <w:r>
              <w:t>Kaggle acquisition forecast</w:t>
            </w:r>
          </w:p>
        </w:tc>
        <w:tc>
          <w:tcPr>
            <w:tcW w:type="dxa" w:w="1234"/>
          </w:tcPr>
          <w:p>
            <w:r>
              <w:t>Retained Kaggle/legacy model base, benchmark checked against benchmark ARPU and downstream economics</w:t>
            </w:r>
          </w:p>
        </w:tc>
        <w:tc>
          <w:tcPr>
            <w:tcW w:type="dxa" w:w="1234"/>
          </w:tcPr>
          <w:p>
            <w:r>
              <w:t>Retained from original model artifacts</w:t>
            </w:r>
          </w:p>
        </w:tc>
        <w:tc>
          <w:tcPr>
            <w:tcW w:type="dxa" w:w="1234"/>
          </w:tcPr>
          <w:p>
            <w:r>
              <w:t>Base monthly net new subscriptions set to 40 from original forecast centerline; editable input.</w:t>
            </w:r>
          </w:p>
        </w:tc>
        <w:tc>
          <w:tcPr>
            <w:tcW w:type="dxa" w:w="1234"/>
          </w:tcPr>
          <w:p>
            <w:r>
              <w:t>Preserves the existing acquisition engine while improving downstream monetization realism.</w:t>
            </w:r>
          </w:p>
        </w:tc>
      </w:tr>
      <w:tr>
        <w:tc>
          <w:tcPr>
            <w:tcW w:type="dxa" w:w="1234"/>
          </w:tcPr>
          <w:p>
            <w:r>
              <w:t>Net churn</w:t>
            </w:r>
          </w:p>
        </w:tc>
        <w:tc>
          <w:tcPr>
            <w:tcW w:type="dxa" w:w="1234"/>
          </w:tcPr>
          <w:p>
            <w:r>
              <w:t>Retention</w:t>
            </w:r>
          </w:p>
        </w:tc>
        <w:tc>
          <w:tcPr>
            <w:tcW w:type="dxa" w:w="1234"/>
          </w:tcPr>
          <w:p>
            <w:r>
              <w:t>Raw churn transfer / scenario netting</w:t>
            </w:r>
          </w:p>
        </w:tc>
        <w:tc>
          <w:tcPr>
            <w:tcW w:type="dxa" w:w="1234"/>
          </w:tcPr>
          <w:p>
            <w:r>
              <w:t>Gross churn less Antenna-style reactivation credit and expansion offsets</w:t>
            </w:r>
          </w:p>
        </w:tc>
        <w:tc>
          <w:tcPr>
            <w:tcW w:type="dxa" w:w="1234"/>
          </w:tcPr>
          <w:p>
            <w:r>
              <w:t>https://www.antenna.live/insights/resubscription-is-on-the-rise</w:t>
            </w:r>
          </w:p>
        </w:tc>
        <w:tc>
          <w:tcPr>
            <w:tcW w:type="dxa" w:w="1234"/>
          </w:tcPr>
          <w:p>
            <w:r>
              <w:t>Base gross churn 4.5%; reactivation credit from Antenna curve; expansion bounded separately.</w:t>
            </w:r>
          </w:p>
        </w:tc>
        <w:tc>
          <w:tcPr>
            <w:tcW w:type="dxa" w:w="1234"/>
          </w:tcPr>
          <w:p>
            <w:r>
              <w:t>Net churn is now decomposed into gross churn, reactivation, and expansion rather than treated as a black box.</w:t>
            </w:r>
          </w:p>
        </w:tc>
      </w:tr>
      <w:tr>
        <w:tc>
          <w:tcPr>
            <w:tcW w:type="dxa" w:w="1234"/>
          </w:tcPr>
          <w:p>
            <w:r>
              <w:t>Expansion</w:t>
            </w:r>
          </w:p>
        </w:tc>
        <w:tc>
          <w:tcPr>
            <w:tcW w:type="dxa" w:w="1234"/>
          </w:tcPr>
          <w:p>
            <w:r>
              <w:t>Expansion</w:t>
            </w:r>
          </w:p>
        </w:tc>
        <w:tc>
          <w:tcPr>
            <w:tcW w:type="dxa" w:w="1234"/>
          </w:tcPr>
          <w:p>
            <w:r>
              <w:t>Fabricated upgrade / expansion rate</w:t>
            </w:r>
          </w:p>
        </w:tc>
        <w:tc>
          <w:tcPr>
            <w:tcW w:type="dxa" w:w="1234"/>
          </w:tcPr>
          <w:p>
            <w:r>
              <w:t>OpenView / High Alpha benchmark</w:t>
            </w:r>
          </w:p>
        </w:tc>
        <w:tc>
          <w:tcPr>
            <w:tcW w:type="dxa" w:w="1234"/>
          </w:tcPr>
          <w:p>
            <w:r>
              <w:t>https://www.highalpha.com/saas-benchmarks/2024</w:t>
            </w:r>
          </w:p>
        </w:tc>
        <w:tc>
          <w:tcPr>
            <w:tcW w:type="dxa" w:w="1234"/>
          </w:tcPr>
          <w:p>
            <w:r>
              <w:t>Expansion ARR = 40% of total new ARR overall; &gt;50% for &gt;$50M ARR; ChartMogul expansion share rising toward low-30s of ARR gained.</w:t>
            </w:r>
          </w:p>
        </w:tc>
        <w:tc>
          <w:tcPr>
            <w:tcW w:type="dxa" w:w="1234"/>
          </w:tcPr>
          <w:p>
            <w:r>
              <w:t>Replaces fabricated expansion with benchmark-bounded expansion economics.</w:t>
            </w:r>
          </w:p>
        </w:tc>
      </w:tr>
      <w:tr>
        <w:tc>
          <w:tcPr>
            <w:tcW w:type="dxa" w:w="1234"/>
          </w:tcPr>
          <w:p>
            <w:r>
              <w:t>Retention</w:t>
            </w:r>
          </w:p>
        </w:tc>
        <w:tc>
          <w:tcPr>
            <w:tcW w:type="dxa" w:w="1234"/>
          </w:tcPr>
          <w:p>
            <w:r>
              <w:t>Retention</w:t>
            </w:r>
          </w:p>
        </w:tc>
        <w:tc>
          <w:tcPr>
            <w:tcW w:type="dxa" w:w="1234"/>
          </w:tcPr>
          <w:p>
            <w:r>
              <w:t>Kaggle churn labels with unrealistic 44%–52% churn</w:t>
            </w:r>
          </w:p>
        </w:tc>
        <w:tc>
          <w:tcPr>
            <w:tcW w:type="dxa" w:w="1234"/>
          </w:tcPr>
          <w:p>
            <w:r>
              <w:t>Industry benchmark calibration</w:t>
            </w:r>
          </w:p>
        </w:tc>
        <w:tc>
          <w:tcPr>
            <w:tcW w:type="dxa" w:w="1234"/>
          </w:tcPr>
          <w:p>
            <w:r>
              <w:t>https://churnkey.co/blog/churn-rates-for-streaming-services/</w:t>
            </w:r>
          </w:p>
        </w:tc>
        <w:tc>
          <w:tcPr>
            <w:tcW w:type="dxa" w:w="1234"/>
          </w:tcPr>
          <w:p>
            <w:r>
              <w:t>Use calibrated monthly churn band 2%–7%; base blended churn 4.5% =&gt; retention 95.5%.</w:t>
            </w:r>
          </w:p>
        </w:tc>
        <w:tc>
          <w:tcPr>
            <w:tcW w:type="dxa" w:w="1234"/>
          </w:tcPr>
          <w:p>
            <w:r>
              <w:t>Fixes the largest domain-transfer issue in the original model.</w:t>
            </w:r>
          </w:p>
        </w:tc>
      </w:tr>
      <w:tr>
        <w:tc>
          <w:tcPr>
            <w:tcW w:type="dxa" w:w="1234"/>
          </w:tcPr>
          <w:p>
            <w:r>
              <w:t>Seats</w:t>
            </w:r>
          </w:p>
        </w:tc>
        <w:tc>
          <w:tcPr>
            <w:tcW w:type="dxa" w:w="1234"/>
          </w:tcPr>
          <w:p>
            <w:r>
              <w:t>Usage / Capacity</w:t>
            </w:r>
          </w:p>
        </w:tc>
        <w:tc>
          <w:tcPr>
            <w:tcW w:type="dxa" w:w="1234"/>
          </w:tcPr>
          <w:p>
            <w:r>
              <w:t>Household profiles/devices proxy</w:t>
            </w:r>
          </w:p>
        </w:tc>
        <w:tc>
          <w:tcPr>
            <w:tcW w:type="dxa" w:w="1234"/>
          </w:tcPr>
          <w:p>
            <w:r>
              <w:t>Retained proxy (editable) because no better free public row-level seat dataset was identified</w:t>
            </w:r>
          </w:p>
        </w:tc>
        <w:tc>
          <w:tcPr>
            <w:tcW w:type="dxa" w:w="1234"/>
          </w:tcPr>
          <w:p>
            <w:r>
              <w:t>Retained from original Kaggle-style feature design</w:t>
            </w:r>
          </w:p>
        </w:tc>
        <w:tc>
          <w:tcPr>
            <w:tcW w:type="dxa" w:w="1234"/>
          </w:tcPr>
          <w:p>
            <w:r>
              <w:t>Seat factor default = 1.00, fully editable to reflect customer mix.</w:t>
            </w:r>
          </w:p>
        </w:tc>
        <w:tc>
          <w:tcPr>
            <w:tcW w:type="dxa" w:w="1234"/>
          </w:tcPr>
          <w:p>
            <w:r>
              <w:t>Maintains transparency: seat economics remain proxy-based and user-editable rather than disguised as observed data.</w:t>
            </w:r>
          </w:p>
        </w:tc>
      </w:tr>
    </w:tbl>
    <w:p>
      <w:pPr>
        <w:pStyle w:val="Heading2"/>
      </w:pPr>
      <w:r>
        <w:t>Methodology Notes</w:t>
      </w:r>
    </w:p>
    <w:p>
      <w:pPr>
        <w:pStyle w:val="ListBullet"/>
      </w:pPr>
      <w:r>
        <w:t>Data triangulation was used intentionally: each KPI is anchored to the highest-authority free public source available for that metric.</w:t>
      </w:r>
    </w:p>
    <w:p>
      <w:pPr>
        <w:pStyle w:val="ListBullet"/>
      </w:pPr>
      <w:r>
        <w:t>No incompatible row-level datasets were merged. Kaggle-style training data remains useful only as a modeling scaffold where appropriate.</w:t>
      </w:r>
    </w:p>
    <w:p>
      <w:pPr>
        <w:pStyle w:val="ListBullet"/>
      </w:pPr>
      <w:r>
        <w:t>The rebuild distinguishes observed values, benchmark-calibrated values, derived formulas, and remaining transparent proxies.</w:t>
      </w:r>
    </w:p>
    <w:p>
      <w:pPr>
        <w:pStyle w:val="ListBullet"/>
      </w:pPr>
      <w:r>
        <w:t>All workbook calculations are reproducible and visible as formulas in Excel.</w:t>
      </w:r>
    </w:p>
    <w:p>
      <w:pPr>
        <w:pStyle w:val="Heading2"/>
      </w:pPr>
      <w:r>
        <w:t>Limitations and Remaining Assumptions</w:t>
      </w:r>
    </w:p>
    <w:p>
      <w:pPr>
        <w:pStyle w:val="ListBullet"/>
      </w:pPr>
      <w:r>
        <w:t>Seats remain proxy-based because no better free public seat-level operating dataset was identified in the supplied materials.</w:t>
      </w:r>
    </w:p>
    <w:p>
      <w:pPr>
        <w:pStyle w:val="ListBullet"/>
      </w:pPr>
      <w:r>
        <w:t>Net new subscriptions are retained from the original acquisition engine centerline because the source PDFs expose the forecast but not the raw training table.</w:t>
      </w:r>
    </w:p>
    <w:p>
      <w:pPr>
        <w:pStyle w:val="ListBullet"/>
      </w:pPr>
      <w:r>
        <w:t>SEC/earnings ARPU figures are used as reasonableness anchors, not as direct company-specific measurements for the modeled business.</w:t>
      </w:r>
    </w:p>
    <w:p>
      <w:pPr>
        <w:pStyle w:val="ListBullet"/>
      </w:pPr>
      <w:r>
        <w:t>The CLV/CAC check is best interpreted as a benchmark validation layer, not as a substitute for real channel-level spend data.</w:t>
      </w:r>
    </w:p>
    <w:p>
      <w:pPr>
        <w:pStyle w:val="Heading2"/>
      </w:pPr>
      <w:r>
        <w:t>Visual 1: Before vs After Index Comparison</w:t>
      </w:r>
    </w:p>
    <w:p>
      <w:r>
        <w:drawing>
          <wp:inline xmlns:a="http://schemas.openxmlformats.org/drawingml/2006/main" xmlns:pic="http://schemas.openxmlformats.org/drawingml/2006/picture">
            <wp:extent cx="6217920" cy="35914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after_index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9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Visual 2: Old vs Rebuilt Monthly MRR Path</w:t>
      </w:r>
    </w:p>
    <w:p>
      <w:r>
        <w:drawing>
          <wp:inline xmlns:a="http://schemas.openxmlformats.org/drawingml/2006/main" xmlns:pic="http://schemas.openxmlformats.org/drawingml/2006/picture">
            <wp:extent cx="6217920" cy="3580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_vs_rebuilt_mrr_p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0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Visual 3: Confidence by KPI Group</w:t>
      </w:r>
    </w:p>
    <w:p>
      <w:r>
        <w:drawing>
          <wp:inline xmlns:a="http://schemas.openxmlformats.org/drawingml/2006/main" xmlns:pic="http://schemas.openxmlformats.org/drawingml/2006/picture">
            <wp:extent cx="6217920" cy="3588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ce_by_kpi_gro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Source URLs and Extraction Notes</w:t>
      </w:r>
    </w:p>
    <w:p>
      <w:pPr>
        <w:pStyle w:val="ListBullet"/>
      </w:pPr>
      <w:r>
        <w:t>Antenna Insights: public resubscription / churn insights used for the reactivation curve and net-vs-gross churn framing. URL: https://www.antenna.live/insights/resubscription-is-on-the-rise</w:t>
      </w:r>
    </w:p>
    <w:p>
      <w:pPr>
        <w:pStyle w:val="ListBullet"/>
      </w:pPr>
      <w:r>
        <w:t>OpenView / High Alpha 2024 SaaS Benchmarks: expansion ARR benchmark and CAC context. URL: https://www.highalpha.com/saas-benchmarks/2024</w:t>
      </w:r>
    </w:p>
    <w:p>
      <w:pPr>
        <w:pStyle w:val="ListBullet"/>
      </w:pPr>
      <w:r>
        <w:t>Recurly churn benchmarks: billing leakage and voluntary/involuntary churn context. URL: https://recurly.com/research/churn-rate-benchmarks/</w:t>
      </w:r>
    </w:p>
    <w:p>
      <w:pPr>
        <w:pStyle w:val="ListBullet"/>
      </w:pPr>
      <w:r>
        <w:t>Churnkey streaming churn article: used to bound streaming churn into a public 2%-7% band. URL: https://churnkey.co/blog/churn-rates-for-streaming-services/</w:t>
      </w:r>
    </w:p>
    <w:p>
      <w:pPr>
        <w:pStyle w:val="ListBullet"/>
      </w:pPr>
      <w:r>
        <w:t>KeyBanc SaaS resources: CAC and gross margin context. URL: https://www.key.com/businesses-institutions/industry-expertise/saas-resources.html</w:t>
      </w:r>
    </w:p>
    <w:p>
      <w:pPr>
        <w:pStyle w:val="ListBullet"/>
      </w:pPr>
      <w:r>
        <w:t>Benchmarkit benchmark explorer: CLV/CAC median 3.6 validation reference. URL: https://www.benchmarkit.ai/2025benchmarks</w:t>
      </w:r>
    </w:p>
    <w:p>
      <w:pPr>
        <w:pStyle w:val="ListBullet"/>
      </w:pPr>
      <w:r>
        <w:t>ChartMogul SaaS benchmarks report: secondary support for reactivation and expansion composition. URL: https://chartmogul.com/reports/saas-benchmarks-report/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