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6"/>
        </w:rPr>
        <w:t>Revenue Driver Model</w:t>
        <w:br/>
        <w:t>Defensibility Improvement Plan</w:t>
      </w:r>
    </w:p>
    <w:p>
      <w:pPr>
        <w:jc w:val="center"/>
      </w:pPr>
      <w:r>
        <w:rPr>
          <w:color w:val="555555"/>
          <w:sz w:val="28"/>
        </w:rPr>
        <w:t>Free Public Data Sources to Replace Proxies,</w:t>
        <w:br/>
        <w:t>Validate Assumptions &amp; Strengthen Forecasting</w:t>
      </w:r>
    </w:p>
    <w:p/>
    <w:p>
      <w:pPr>
        <w:jc w:val="center"/>
      </w:pPr>
      <w:r>
        <w:rPr>
          <w:color w:val="777777"/>
          <w:sz w:val="22"/>
        </w:rPr>
        <w:t>Prepared: April 01, 2026</w:t>
        <w:br/>
      </w:r>
      <w:r>
        <w:rPr>
          <w:color w:val="777777"/>
          <w:sz w:val="22"/>
        </w:rPr>
        <w:t>Supporting: LinkedIn article by Yves Bourgeois on SaaS/Streaming Revenue Driver Trees</w:t>
      </w:r>
    </w:p>
    <w:p>
      <w:r>
        <w:br w:type="page"/>
      </w:r>
    </w:p>
    <w:p>
      <w:pPr>
        <w:pStyle w:val="Heading1"/>
      </w:pPr>
      <w:r>
        <w:t>Table of Contents</w:t>
      </w:r>
    </w:p>
    <w:p>
      <w:pPr>
        <w:spacing w:after="40" w:before="40"/>
      </w:pPr>
      <w:r>
        <w:t>1. Executive Summary</w:t>
      </w:r>
    </w:p>
    <w:p>
      <w:pPr>
        <w:spacing w:after="40" w:before="40"/>
      </w:pPr>
      <w:r>
        <w:t>2. Current Model Overview &amp; Confidence Assessment</w:t>
      </w:r>
    </w:p>
    <w:p>
      <w:pPr>
        <w:spacing w:after="40" w:before="40"/>
      </w:pPr>
      <w:r>
        <w:t>3. Limitation Analysis &amp; Data Source Recommendations</w:t>
      </w:r>
    </w:p>
    <w:p>
      <w:pPr>
        <w:spacing w:after="40" w:before="40"/>
      </w:pPr>
      <w:r>
        <w:t xml:space="preserve">   3.1 SaaS MRR — Rate-Card Proxy, Not Billing Data</w:t>
      </w:r>
    </w:p>
    <w:p>
      <w:pPr>
        <w:spacing w:after="40" w:before="40"/>
      </w:pPr>
      <w:r>
        <w:t xml:space="preserve">   3.2 CLV/CAC — Derived Metrics with Heavy Assumptions</w:t>
      </w:r>
    </w:p>
    <w:p>
      <w:pPr>
        <w:spacing w:after="40" w:before="40"/>
      </w:pPr>
      <w:r>
        <w:t xml:space="preserve">   3.3 Domain Transfer — Churn-to-Streaming Dataset Bridging</w:t>
      </w:r>
    </w:p>
    <w:p>
      <w:pPr>
        <w:spacing w:after="40" w:before="40"/>
      </w:pPr>
      <w:r>
        <w:t xml:space="preserve">   3.4 Reactivation Rates — Fabricated / Hypothetical</w:t>
      </w:r>
    </w:p>
    <w:p>
      <w:pPr>
        <w:spacing w:after="40" w:before="40"/>
      </w:pPr>
      <w:r>
        <w:t xml:space="preserve">   3.5 Expansion &amp; Upgrade Rates — Fabricated / Hypothetical</w:t>
      </w:r>
    </w:p>
    <w:p>
      <w:pPr>
        <w:spacing w:after="40" w:before="40"/>
      </w:pPr>
      <w:r>
        <w:t>4. Master Data Source Reference Table</w:t>
      </w:r>
    </w:p>
    <w:p>
      <w:pPr>
        <w:spacing w:after="40" w:before="40"/>
      </w:pPr>
      <w:r>
        <w:t>5. Prioritized Implementation Roadmap</w:t>
      </w:r>
    </w:p>
    <w:p>
      <w:pPr>
        <w:spacing w:after="40" w:before="40"/>
      </w:pPr>
      <w:r>
        <w:t>6. Additional Considerations &amp; Caveats</w:t>
      </w:r>
    </w:p>
    <w:p>
      <w:pPr>
        <w:spacing w:after="40" w:before="40"/>
      </w:pPr>
      <w:r>
        <w:t>7. Appendix: Source Access Quick-Reference</w:t>
      </w:r>
    </w:p>
    <w:p>
      <w:r>
        <w:br w:type="page"/>
      </w:r>
    </w:p>
    <w:p>
      <w:pPr>
        <w:pStyle w:val="Heading1"/>
      </w:pPr>
      <w:r>
        <w:t>1. Executive Summary</w:t>
      </w:r>
    </w:p>
    <w:p>
      <w:r>
        <w:t>This document provides a systematic plan for strengthening the defensibility of the AI-Powered SaaS &amp; Streaming Revenue Driver Tree model, as presented in the LinkedIn article by Yves Bourgeois and documented in the two accompanying model reports (final_revenue_driver_model_report.pdf and revenue_driver_model_rebuilt_v2.pdf).</w:t>
      </w:r>
    </w:p>
    <w:p>
      <w:r>
        <w:t>The current model — built from Kaggle datasets — achieves a confidence score of 65/100 and correctly separates observed, derived, and scenario-based metrics. However, several critical proxies and fabricated assumptions limit its defensibility in a real forecast review. This document identifies FREE, publicly available data sources that can:</w:t>
      </w:r>
    </w:p>
    <w:p>
      <w:pPr>
        <w:pStyle w:val="ListBullet"/>
      </w:pPr>
      <w:r>
        <w:t>Replace the SaaS MRR rate-card proxy with real-world billing benchmarks and public company disclosures.</w:t>
      </w:r>
    </w:p>
    <w:p>
      <w:pPr>
        <w:pStyle w:val="ListBullet"/>
      </w:pPr>
      <w:r>
        <w:t>Ground CLV/CAC derived metrics in industry benchmark ranges from multiple credible sources.</w:t>
      </w:r>
    </w:p>
    <w:p>
      <w:pPr>
        <w:pStyle w:val="ListBullet"/>
      </w:pPr>
      <w:r>
        <w:t>Validate the domain transfer assumption (churn dataset → streaming dataset) against published streaming churn data.</w:t>
      </w:r>
    </w:p>
    <w:p>
      <w:pPr>
        <w:pStyle w:val="ListBullet"/>
      </w:pPr>
      <w:r>
        <w:t>Replace fabricated reactivation rates with empirically observed reactivation benchmarks from Antenna, Recurly, and public filings.</w:t>
      </w:r>
    </w:p>
    <w:p>
      <w:pPr>
        <w:pStyle w:val="ListBullet"/>
      </w:pPr>
      <w:r>
        <w:t>Replace fabricated expansion/upgrade rates with NRR decomposition benchmarks from OpenView, KeyBanc, and ChartMogul.</w:t>
      </w:r>
    </w:p>
    <w:p/>
    <w:p>
      <w:r>
        <w:rPr>
          <w:b/>
        </w:rPr>
        <w:t xml:space="preserve">Bottom line: </w:t>
      </w:r>
      <w:r>
        <w:t>The highest-impact, lowest-effort improvements are (1) anchoring reactivation rates to Antenna/Recurly published streaming reactivation data, and (2) replacing expansion rate assumptions with NRR decomposition benchmarks from OpenView or ChartMogul. These two changes alone could move the model's confidence score from 65 to the 75–80 range by converting two "scenario-only" layers into "benchmark-calibrated" layers.</w:t>
      </w:r>
    </w:p>
    <w:p>
      <w:r>
        <w:br w:type="page"/>
      </w:r>
    </w:p>
    <w:p>
      <w:pPr>
        <w:pStyle w:val="Heading1"/>
      </w:pPr>
      <w:r>
        <w:t>2. Current Model Overview &amp; Confidence Assessment</w:t>
      </w:r>
    </w:p>
    <w:p>
      <w:pPr>
        <w:pStyle w:val="Heading2"/>
      </w:pPr>
      <w:r>
        <w:t>2.1 What the Model Does Well</w:t>
      </w:r>
    </w:p>
    <w:p>
      <w:r>
        <w:rPr>
          <w:b/>
        </w:rPr>
        <w:t xml:space="preserve">Governed metric layer: </w:t>
      </w:r>
      <w:r>
        <w:t>Explicit separation of observed vs. derived vs. scenario-based metrics with a metric availability matrix.</w:t>
      </w:r>
    </w:p>
    <w:p>
      <w:r>
        <w:rPr>
          <w:b/>
        </w:rPr>
        <w:t xml:space="preserve">Connected system proof: </w:t>
      </w:r>
      <w:r>
        <w:t>Ablation study demonstrating that acquisition-only forecasting omits ~87% of MRR behavior (avg omission gap of 3,324 MRR).</w:t>
      </w:r>
    </w:p>
    <w:p>
      <w:r>
        <w:rPr>
          <w:b/>
        </w:rPr>
        <w:t xml:space="preserve">Retention engine: </w:t>
      </w:r>
      <w:r>
        <w:t>Calibrated churn model with contract-specific hazard curves (Weighted AUC 0.716 in v2).</w:t>
      </w:r>
    </w:p>
    <w:p>
      <w:r>
        <w:rPr>
          <w:b/>
        </w:rPr>
        <w:t xml:space="preserve">Sensitivity analysis: </w:t>
      </w:r>
      <w:r>
        <w:t>Upstream driver perturbation showing retention_rate has ~4x the MRR impact of acquisition_rate.</w:t>
      </w:r>
    </w:p>
    <w:p>
      <w:r>
        <w:rPr>
          <w:b/>
        </w:rPr>
        <w:t xml:space="preserve">Anomaly detection: </w:t>
      </w:r>
      <w:r>
        <w:t>Terminal trajectory alerts, CLV&lt;CAC detection, and constant-expansion flags.</w:t>
      </w:r>
    </w:p>
    <w:p>
      <w:pPr>
        <w:pStyle w:val="Heading2"/>
      </w:pPr>
      <w:r>
        <w:t>2.2 Current Confidence Scorecard (v2)</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Points Available</w:t>
            </w:r>
          </w:p>
        </w:tc>
        <w:tc>
          <w:tcPr>
            <w:tcW w:type="dxa" w:w="2160"/>
          </w:tcPr>
          <w:p>
            <w:r>
              <w:rPr>
                <w:b/>
              </w:rPr>
              <w:t>Pass?</w:t>
            </w:r>
          </w:p>
        </w:tc>
        <w:tc>
          <w:tcPr>
            <w:tcW w:type="dxa" w:w="2160"/>
          </w:tcPr>
          <w:p>
            <w:r>
              <w:rPr>
                <w:b/>
              </w:rPr>
              <w:t>Awarded</w:t>
            </w:r>
          </w:p>
        </w:tc>
      </w:tr>
      <w:tr>
        <w:tc>
          <w:tcPr>
            <w:tcW w:type="dxa" w:w="2160"/>
          </w:tcPr>
          <w:p>
            <w:r>
              <w:t>Observed streaming acquisition/MRR engine</w:t>
            </w:r>
          </w:p>
        </w:tc>
        <w:tc>
          <w:tcPr>
            <w:tcW w:type="dxa" w:w="2160"/>
          </w:tcPr>
          <w:p>
            <w:r>
              <w:t>20</w:t>
            </w:r>
          </w:p>
        </w:tc>
        <w:tc>
          <w:tcPr>
            <w:tcW w:type="dxa" w:w="2160"/>
          </w:tcPr>
          <w:p>
            <w:r>
              <w:t>Yes</w:t>
            </w:r>
          </w:p>
        </w:tc>
        <w:tc>
          <w:tcPr>
            <w:tcW w:type="dxa" w:w="2160"/>
          </w:tcPr>
          <w:p>
            <w:r>
              <w:t>20</w:t>
            </w:r>
          </w:p>
        </w:tc>
      </w:tr>
      <w:tr>
        <w:tc>
          <w:tcPr>
            <w:tcW w:type="dxa" w:w="2160"/>
          </w:tcPr>
          <w:p>
            <w:r>
              <w:t>SaaS retention discrimination (AUC ≥ 0.70)</w:t>
            </w:r>
          </w:p>
        </w:tc>
        <w:tc>
          <w:tcPr>
            <w:tcW w:type="dxa" w:w="2160"/>
          </w:tcPr>
          <w:p>
            <w:r>
              <w:t>15</w:t>
            </w:r>
          </w:p>
        </w:tc>
        <w:tc>
          <w:tcPr>
            <w:tcW w:type="dxa" w:w="2160"/>
          </w:tcPr>
          <w:p>
            <w:r>
              <w:t>Yes</w:t>
            </w:r>
          </w:p>
        </w:tc>
        <w:tc>
          <w:tcPr>
            <w:tcW w:type="dxa" w:w="2160"/>
          </w:tcPr>
          <w:p>
            <w:r>
              <w:t>15</w:t>
            </w:r>
          </w:p>
        </w:tc>
      </w:tr>
      <w:tr>
        <w:tc>
          <w:tcPr>
            <w:tcW w:type="dxa" w:w="2160"/>
          </w:tcPr>
          <w:p>
            <w:r>
              <w:t>SaaS retention calibration (≥ 0.67 pass)</w:t>
            </w:r>
          </w:p>
        </w:tc>
        <w:tc>
          <w:tcPr>
            <w:tcW w:type="dxa" w:w="2160"/>
          </w:tcPr>
          <w:p>
            <w:r>
              <w:t>20</w:t>
            </w:r>
          </w:p>
        </w:tc>
        <w:tc>
          <w:tcPr>
            <w:tcW w:type="dxa" w:w="2160"/>
          </w:tcPr>
          <w:p>
            <w:r>
              <w:t>No</w:t>
            </w:r>
          </w:p>
        </w:tc>
        <w:tc>
          <w:tcPr>
            <w:tcW w:type="dxa" w:w="2160"/>
          </w:tcPr>
          <w:p>
            <w:r>
              <w:t>0</w:t>
            </w:r>
          </w:p>
        </w:tc>
      </w:tr>
      <w:tr>
        <w:tc>
          <w:tcPr>
            <w:tcW w:type="dxa" w:w="2160"/>
          </w:tcPr>
          <w:p>
            <w:r>
              <w:t>Monthly-contract artifact stabilized</w:t>
            </w:r>
          </w:p>
        </w:tc>
        <w:tc>
          <w:tcPr>
            <w:tcW w:type="dxa" w:w="2160"/>
          </w:tcPr>
          <w:p>
            <w:r>
              <w:t>5</w:t>
            </w:r>
          </w:p>
        </w:tc>
        <w:tc>
          <w:tcPr>
            <w:tcW w:type="dxa" w:w="2160"/>
          </w:tcPr>
          <w:p>
            <w:r>
              <w:t>Yes</w:t>
            </w:r>
          </w:p>
        </w:tc>
        <w:tc>
          <w:tcPr>
            <w:tcW w:type="dxa" w:w="2160"/>
          </w:tcPr>
          <w:p>
            <w:r>
              <w:t>5</w:t>
            </w:r>
          </w:p>
        </w:tc>
      </w:tr>
      <w:tr>
        <w:tc>
          <w:tcPr>
            <w:tcW w:type="dxa" w:w="2160"/>
          </w:tcPr>
          <w:p>
            <w:r>
              <w:t>Dataset row-level mixing removed</w:t>
            </w:r>
          </w:p>
        </w:tc>
        <w:tc>
          <w:tcPr>
            <w:tcW w:type="dxa" w:w="2160"/>
          </w:tcPr>
          <w:p>
            <w:r>
              <w:t>10</w:t>
            </w:r>
          </w:p>
        </w:tc>
        <w:tc>
          <w:tcPr>
            <w:tcW w:type="dxa" w:w="2160"/>
          </w:tcPr>
          <w:p>
            <w:r>
              <w:t>Yes</w:t>
            </w:r>
          </w:p>
        </w:tc>
        <w:tc>
          <w:tcPr>
            <w:tcW w:type="dxa" w:w="2160"/>
          </w:tcPr>
          <w:p>
            <w:r>
              <w:t>10</w:t>
            </w:r>
          </w:p>
        </w:tc>
      </w:tr>
      <w:tr>
        <w:tc>
          <w:tcPr>
            <w:tcW w:type="dxa" w:w="2160"/>
          </w:tcPr>
          <w:p>
            <w:r>
              <w:t>Scenario layers isolated &amp; labeled</w:t>
            </w:r>
          </w:p>
        </w:tc>
        <w:tc>
          <w:tcPr>
            <w:tcW w:type="dxa" w:w="2160"/>
          </w:tcPr>
          <w:p>
            <w:r>
              <w:t>5</w:t>
            </w:r>
          </w:p>
        </w:tc>
        <w:tc>
          <w:tcPr>
            <w:tcW w:type="dxa" w:w="2160"/>
          </w:tcPr>
          <w:p>
            <w:r>
              <w:t>Yes</w:t>
            </w:r>
          </w:p>
        </w:tc>
        <w:tc>
          <w:tcPr>
            <w:tcW w:type="dxa" w:w="2160"/>
          </w:tcPr>
          <w:p>
            <w:r>
              <w:t>5</w:t>
            </w:r>
          </w:p>
        </w:tc>
      </w:tr>
      <w:tr>
        <w:tc>
          <w:tcPr>
            <w:tcW w:type="dxa" w:w="2160"/>
          </w:tcPr>
          <w:p>
            <w:r>
              <w:t>Upstream sensitivity analysis</w:t>
            </w:r>
          </w:p>
        </w:tc>
        <w:tc>
          <w:tcPr>
            <w:tcW w:type="dxa" w:w="2160"/>
          </w:tcPr>
          <w:p>
            <w:r>
              <w:t>10</w:t>
            </w:r>
          </w:p>
        </w:tc>
        <w:tc>
          <w:tcPr>
            <w:tcW w:type="dxa" w:w="2160"/>
          </w:tcPr>
          <w:p>
            <w:r>
              <w:t>Yes</w:t>
            </w:r>
          </w:p>
        </w:tc>
        <w:tc>
          <w:tcPr>
            <w:tcW w:type="dxa" w:w="2160"/>
          </w:tcPr>
          <w:p>
            <w:r>
              <w:t>10</w:t>
            </w:r>
          </w:p>
        </w:tc>
      </w:tr>
      <w:tr>
        <w:tc>
          <w:tcPr>
            <w:tcW w:type="dxa" w:w="2160"/>
          </w:tcPr>
          <w:p>
            <w:r>
              <w:t>No critical anomaly alerts</w:t>
            </w:r>
          </w:p>
        </w:tc>
        <w:tc>
          <w:tcPr>
            <w:tcW w:type="dxa" w:w="2160"/>
          </w:tcPr>
          <w:p>
            <w:r>
              <w:t>10</w:t>
            </w:r>
          </w:p>
        </w:tc>
        <w:tc>
          <w:tcPr>
            <w:tcW w:type="dxa" w:w="2160"/>
          </w:tcPr>
          <w:p>
            <w:r>
              <w:t>No</w:t>
            </w:r>
          </w:p>
        </w:tc>
        <w:tc>
          <w:tcPr>
            <w:tcW w:type="dxa" w:w="2160"/>
          </w:tcPr>
          <w:p>
            <w:r>
              <w:t>0</w:t>
            </w:r>
          </w:p>
        </w:tc>
      </w:tr>
      <w:tr>
        <w:tc>
          <w:tcPr>
            <w:tcW w:type="dxa" w:w="2160"/>
          </w:tcPr>
          <w:p>
            <w:r>
              <w:t>Domain transfer validated</w:t>
            </w:r>
          </w:p>
        </w:tc>
        <w:tc>
          <w:tcPr>
            <w:tcW w:type="dxa" w:w="2160"/>
          </w:tcPr>
          <w:p>
            <w:r>
              <w:t>5</w:t>
            </w:r>
          </w:p>
        </w:tc>
        <w:tc>
          <w:tcPr>
            <w:tcW w:type="dxa" w:w="2160"/>
          </w:tcPr>
          <w:p>
            <w:r>
              <w:t>No</w:t>
            </w:r>
          </w:p>
        </w:tc>
        <w:tc>
          <w:tcPr>
            <w:tcW w:type="dxa" w:w="2160"/>
          </w:tcPr>
          <w:p>
            <w:r>
              <w:t>0</w:t>
            </w:r>
          </w:p>
        </w:tc>
      </w:tr>
    </w:tbl>
    <w:p/>
    <w:p>
      <w:r>
        <w:rPr>
          <w:b/>
        </w:rPr>
        <w:t xml:space="preserve">Total: 65 / 100. </w:t>
      </w:r>
      <w:r>
        <w:t>Three criteria failed — calibration gate, anomaly alerts, and domain transfer — representing 35 recoverable points.</w:t>
      </w:r>
    </w:p>
    <w:p>
      <w:pPr>
        <w:pStyle w:val="Heading2"/>
      </w:pPr>
      <w:r>
        <w:t>2.3 The Two Categories of Limitation</w:t>
      </w:r>
    </w:p>
    <w:p>
      <w:r>
        <w:t>The LinkedIn article argues for a connected revenue driver tree where acquisition, retention, and expansion are modeled as an integrated system. The model proves this architecture works but has two categories of weakness: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What It Means</w:t>
            </w:r>
          </w:p>
        </w:tc>
        <w:tc>
          <w:tcPr>
            <w:tcW w:type="dxa" w:w="2880"/>
          </w:tcPr>
          <w:p>
            <w:r>
              <w:rPr>
                <w:b/>
              </w:rPr>
              <w:t>Affected Metrics</w:t>
            </w:r>
          </w:p>
        </w:tc>
      </w:tr>
      <w:tr>
        <w:tc>
          <w:tcPr>
            <w:tcW w:type="dxa" w:w="2880"/>
          </w:tcPr>
          <w:p>
            <w:r>
              <w:t>Transparent Proxies</w:t>
            </w:r>
          </w:p>
        </w:tc>
        <w:tc>
          <w:tcPr>
            <w:tcW w:type="dxa" w:w="2880"/>
          </w:tcPr>
          <w:p>
            <w:r>
              <w:t>Real calculations using substitute data; directionally correct but not from actual billing/operational systems.</w:t>
            </w:r>
          </w:p>
        </w:tc>
        <w:tc>
          <w:tcPr>
            <w:tcW w:type="dxa" w:w="2880"/>
          </w:tcPr>
          <w:p>
            <w:r>
              <w:t>SaaS MRR, CLV/CAC, Domain transfer</w:t>
            </w:r>
          </w:p>
        </w:tc>
      </w:tr>
      <w:tr>
        <w:tc>
          <w:tcPr>
            <w:tcW w:type="dxa" w:w="2880"/>
          </w:tcPr>
          <w:p>
            <w:r>
              <w:t>Scenario-Only (No Predictive Validity)</w:t>
            </w:r>
          </w:p>
        </w:tc>
        <w:tc>
          <w:tcPr>
            <w:tcW w:type="dxa" w:w="2880"/>
          </w:tcPr>
          <w:p>
            <w:r>
              <w:t>Fabricated rates explicitly labeled as hypothetical; no empirical basis in the source data.</w:t>
            </w:r>
          </w:p>
        </w:tc>
        <w:tc>
          <w:tcPr>
            <w:tcW w:type="dxa" w:w="2880"/>
          </w:tcPr>
          <w:p>
            <w:r>
              <w:t>Reactivation rates, Expansion/upgrade rates</w:t>
            </w:r>
          </w:p>
        </w:tc>
      </w:tr>
    </w:tbl>
    <w:p>
      <w:r>
        <w:br w:type="page"/>
      </w:r>
    </w:p>
    <w:p>
      <w:pPr>
        <w:pStyle w:val="Heading1"/>
      </w:pPr>
      <w:r>
        <w:t>3. Limitation Analysis &amp; Data Source Recommendations</w:t>
      </w:r>
    </w:p>
    <w:p>
      <w:pPr>
        <w:pStyle w:val="Heading2"/>
      </w:pPr>
      <w:r>
        <w:t>3.1 SaaS MRR — Rate-Card Proxy, Not Billing Data</w:t>
      </w:r>
    </w:p>
    <w:p>
      <w:pPr>
        <w:pStyle w:val="Heading3"/>
      </w:pPr>
      <w:r>
        <w:t>Current State</w:t>
      </w:r>
    </w:p>
    <w:p>
      <w:r>
        <w:t>The model calculates SaaS MRR using a streaming price-card proxy (monthly_revenue from the streaming dataset) rather than actual billing system data. The v2 report correctly labels this: "SaaS MRR uses a contract-rate-card proxy instead of backward-looking spend averaging." Observed streaming MRR is 12,026 (annualizing to ARR of 144,312).</w:t>
      </w:r>
    </w:p>
    <w:p>
      <w:pPr>
        <w:pStyle w:val="Heading3"/>
      </w:pPr>
      <w:r>
        <w:t>Why This Matters</w:t>
      </w:r>
    </w:p>
    <w:p>
      <w:r>
        <w:t>Rate-card MRR assumes all subscribers pay list price, ignoring discounts, promotions, mid-cycle upgrades/downgrades, and billing failures. In practice, effective MRR is typically 5–15% below rate-card MRR due to these factors.</w:t>
      </w:r>
    </w:p>
    <w:p>
      <w:pPr>
        <w:pStyle w:val="Heading3"/>
      </w:pPr>
      <w:r>
        <w:t>Free Public Data Sources to Improve Defensibility</w:t>
      </w:r>
    </w:p>
    <w:p>
      <w:r>
        <w:rPr>
          <w:b/>
        </w:rPr>
        <w:t>Source 1: Netflix / Disney+ / Warner Bros. Discovery SEC Filings (10-K, 10-Q, Earnings Letters)</w:t>
      </w:r>
    </w:p>
    <w:p>
      <w:r>
        <w:t>Access: https://ir.netflix.net/financials/sec-filings/default.aspx (Netflix); SEC EDGAR for Disney (DIS) and Warner Bros. Discovery (WBD)</w:t>
      </w:r>
    </w:p>
    <w:p>
      <w:pPr>
        <w:pStyle w:val="ListBullet"/>
      </w:pPr>
      <w:r>
        <w:t>What it provides:</w:t>
      </w:r>
    </w:p>
    <w:p>
      <w:pPr>
        <w:pStyle w:val="ListBullet2"/>
      </w:pPr>
      <w:r>
        <w:t>Netflix Average Revenue per Membership (ARM): $11.70 globally in 2024, up from $10.82 in 2023.</w:t>
      </w:r>
    </w:p>
    <w:p>
      <w:pPr>
        <w:pStyle w:val="ListBullet2"/>
      </w:pPr>
      <w:r>
        <w:t>Subscriber counts by region (UCAN: 84.1M, EMEA: 93.9M as of early 2025).</w:t>
      </w:r>
    </w:p>
    <w:p>
      <w:pPr>
        <w:pStyle w:val="ListBullet2"/>
      </w:pPr>
      <w:r>
        <w:t>Revenue breakdowns that let you compute effective ARPU vs. list price.</w:t>
      </w:r>
    </w:p>
    <w:p>
      <w:pPr>
        <w:pStyle w:val="ListBullet2"/>
      </w:pPr>
      <w:r>
        <w:t>Disney+ ARPU by segment (domestic vs. international, ad-supported vs. premium).</w:t>
      </w:r>
    </w:p>
    <w:p>
      <w:r>
        <w:rPr>
          <w:b/>
        </w:rPr>
        <w:t xml:space="preserve">How it improves defensibility: </w:t>
      </w:r>
      <w:r>
        <w:t>Lets you benchmark the rate-card proxy against real effective ARPU from public filings. If your proxy MRR per subscriber is within ±10% of Netflix/Disney ARM, the proxy is defensible as directionally accurate. If it diverges significantly, you can apply a "rate-card discount factor" calibrated to public data.</w:t>
      </w:r>
    </w:p>
    <w:p/>
    <w:p>
      <w:r>
        <w:rPr>
          <w:b/>
        </w:rPr>
        <w:t>Source 2: Recurly Research — Churn &amp; Revenue Benchmarks</w:t>
      </w:r>
    </w:p>
    <w:p>
      <w:r>
        <w:t>Access: https://recurly.com/research/churn-rate-benchmarks/ (free, no registration required)</w:t>
      </w:r>
    </w:p>
    <w:p>
      <w:pPr>
        <w:pStyle w:val="ListBullet"/>
      </w:pPr>
      <w:r>
        <w:t>What it provides:</w:t>
      </w:r>
    </w:p>
    <w:p>
      <w:pPr>
        <w:pStyle w:val="ListBullet2"/>
      </w:pPr>
      <w:r>
        <w:t>Median overall churn rate: 3.27% (voluntary 2.41%, involuntary 0.86%).</w:t>
      </w:r>
    </w:p>
    <w:p>
      <w:pPr>
        <w:pStyle w:val="ListBullet2"/>
      </w:pPr>
      <w:r>
        <w:t>Churn by ARPC band: subscriptions &lt;$10 churn at 4.16% vs. &gt;$250 at 2.76%.</w:t>
      </w:r>
    </w:p>
    <w:p>
      <w:pPr>
        <w:pStyle w:val="ListBullet2"/>
      </w:pPr>
      <w:r>
        <w:t>Industry-specific rates: Digital Media &amp; Entertainment averages 6.5% churn.</w:t>
      </w:r>
    </w:p>
    <w:p>
      <w:pPr>
        <w:pStyle w:val="ListBullet2"/>
      </w:pPr>
      <w:r>
        <w:t>Revenue lost to credit card declines: ~15% of monthly revenue goes uncollected.</w:t>
      </w:r>
    </w:p>
    <w:p>
      <w:r>
        <w:rPr>
          <w:b/>
        </w:rPr>
        <w:t xml:space="preserve">How it improves defensibility: </w:t>
      </w:r>
      <w:r>
        <w:t>The involuntary churn data (0.86% median) provides a basis for discounting rate-card MRR by a "billing failure factor." If 15% of revenue faces decline risk and ~70% is recovered, the net billing leakage is ~4.5%, giving you an empirically grounded discount to apply to rate-card MRR.</w:t>
      </w:r>
    </w:p>
    <w:p/>
    <w:p>
      <w:r>
        <w:rPr>
          <w:b/>
        </w:rPr>
        <w:t>Source 3: ChartMogul SaaS Benchmarks Report 2023</w:t>
      </w:r>
    </w:p>
    <w:p>
      <w:r>
        <w:t>Access: https://chartmogul.com/reports/saas-benchmarks-report/ (free download)</w:t>
      </w:r>
    </w:p>
    <w:p>
      <w:pPr>
        <w:pStyle w:val="ListBullet"/>
      </w:pPr>
      <w:r>
        <w:t>What it provides:</w:t>
      </w:r>
    </w:p>
    <w:p>
      <w:pPr>
        <w:pStyle w:val="ListBullet2"/>
      </w:pPr>
      <w:r>
        <w:t>MRR growth benchmarks by ARR band.</w:t>
      </w:r>
    </w:p>
    <w:p>
      <w:pPr>
        <w:pStyle w:val="ListBullet2"/>
      </w:pPr>
      <w:r>
        <w:t>Net MRR churn rates: 6.2% for &lt;$300K ARR down to 1.8% for &gt;$15M ARR.</w:t>
      </w:r>
    </w:p>
    <w:p>
      <w:pPr>
        <w:pStyle w:val="ListBullet2"/>
      </w:pPr>
      <w:r>
        <w:t>Gross MRR churn rates: 4.1%–5.8% across ARR bands.</w:t>
      </w:r>
    </w:p>
    <w:p>
      <w:pPr>
        <w:pStyle w:val="ListBullet2"/>
      </w:pPr>
      <w:r>
        <w:t>Expansion MRR as % of total MRR movement.</w:t>
      </w:r>
    </w:p>
    <w:p>
      <w:pPr>
        <w:pStyle w:val="ListBullet2"/>
      </w:pPr>
      <w:r>
        <w:t>Reactivation MRR stable at ~10% of ARR gained.</w:t>
      </w:r>
    </w:p>
    <w:p>
      <w:r>
        <w:rPr>
          <w:b/>
        </w:rPr>
        <w:t xml:space="preserve">How it improves defensibility: </w:t>
      </w:r>
      <w:r>
        <w:t>Provides MRR composition benchmarks that let you validate whether the model's MRR output falls within expected ranges for its implied ARR band. Also provides the critical "reactivation MRR = ~10% of ARR gained" benchmark that directly addresses Limitation 3.4.</w:t>
      </w:r>
    </w:p>
    <w:p>
      <w:r>
        <w:br w:type="page"/>
      </w:r>
    </w:p>
    <w:p>
      <w:pPr>
        <w:pStyle w:val="Heading2"/>
      </w:pPr>
      <w:r>
        <w:t>3.2 CLV/CAC — Derived Metrics with Heavy Assumptions</w:t>
      </w:r>
    </w:p>
    <w:p>
      <w:pPr>
        <w:pStyle w:val="Heading3"/>
      </w:pPr>
      <w:r>
        <w:t>Current State</w:t>
      </w:r>
    </w:p>
    <w:p>
      <w:r>
        <w:t>CAC is explicitly not observed in the source data — no marketing spend or channel data exists. CLV is derived from retention rates and ARPU proxies. The model correctly flags CAC as a "scenario-only" metric and CLV as "derived." However, the unit economics failure alert (CLV &lt; CAC) is currently firing, indicating the derived values may be economically implausible.</w:t>
      </w:r>
    </w:p>
    <w:p>
      <w:pPr>
        <w:pStyle w:val="Heading3"/>
      </w:pPr>
      <w:r>
        <w:t>Free Public Data Sources to Improve Defensibility</w:t>
      </w:r>
    </w:p>
    <w:p>
      <w:r>
        <w:rPr>
          <w:b/>
        </w:rPr>
        <w:t>Source 1: KeyBanc Capital Markets (KBCM) Annual Private SaaS Company Survey</w:t>
      </w:r>
    </w:p>
    <w:p>
      <w:r>
        <w:t>Access: https://www.key.com/businesses-institutions/industry-expertise/saas-resources.html (free public database of reported SaaS metrics)</w:t>
      </w:r>
    </w:p>
    <w:p>
      <w:pPr>
        <w:pStyle w:val="ListBullet"/>
      </w:pPr>
      <w:r>
        <w:t>What it provides:</w:t>
      </w:r>
    </w:p>
    <w:p>
      <w:pPr>
        <w:pStyle w:val="ListBullet2"/>
      </w:pPr>
      <w:r>
        <w:t>Median blended CAC ratio: $1.20 (S&amp;M spend per $1 new ARR); New customer CAC ratio: $1.78.</w:t>
      </w:r>
    </w:p>
    <w:p>
      <w:pPr>
        <w:pStyle w:val="ListBullet2"/>
      </w:pPr>
      <w:r>
        <w:t>CAC payback periods by ACV band (Consumer SaaS: 3–5 months; Enterprise: 18–24 months).</w:t>
      </w:r>
    </w:p>
    <w:p>
      <w:pPr>
        <w:pStyle w:val="ListBullet2"/>
      </w:pPr>
      <w:r>
        <w:t>Gross dollar churn: 14–15% of prior year ARR.</w:t>
      </w:r>
    </w:p>
    <w:p>
      <w:pPr>
        <w:pStyle w:val="ListBullet2"/>
      </w:pPr>
      <w:r>
        <w:t>S&amp;M as % of revenue: 33–47% depending on backing type.</w:t>
      </w:r>
    </w:p>
    <w:p>
      <w:pPr>
        <w:pStyle w:val="ListBullet2"/>
      </w:pPr>
      <w:r>
        <w:t>Subscription gross margins: 77–81%.</w:t>
      </w:r>
    </w:p>
    <w:p>
      <w:r>
        <w:rPr>
          <w:b/>
        </w:rPr>
        <w:t xml:space="preserve">How it improves defensibility: </w:t>
      </w:r>
      <w:r>
        <w:t>Rather than fabricating a CAC number, the model can present a "CAC sensitivity range" anchored to KBCM benchmarks. For example: "Assuming industry-median S&amp;M spend of 35% of revenue and a blended CAC ratio of $1.20, implied CAC for this revenue base would be X." This makes the scenario-based CAC transparent and benchmark-grounded.</w:t>
      </w:r>
    </w:p>
    <w:p/>
    <w:p>
      <w:r>
        <w:rPr>
          <w:b/>
        </w:rPr>
        <w:t>Source 2: OpenView / High Alpha 2024 SaaS Benchmarks Report</w:t>
      </w:r>
    </w:p>
    <w:p>
      <w:r>
        <w:t>Access: https://www.highalpha.com/saas-benchmarks/2024 (free download, 800+ companies surveyed)</w:t>
      </w:r>
    </w:p>
    <w:p>
      <w:pPr>
        <w:pStyle w:val="ListBullet"/>
      </w:pPr>
      <w:r>
        <w:t>What it provides:</w:t>
      </w:r>
    </w:p>
    <w:p>
      <w:pPr>
        <w:pStyle w:val="ListBullet2"/>
      </w:pPr>
      <w:r>
        <w:t>New CAC Ratio: median $2.00 S&amp;M per $1 new ARR in 2024 (14% increase YoY).</w:t>
      </w:r>
    </w:p>
    <w:p>
      <w:pPr>
        <w:pStyle w:val="ListBullet2"/>
      </w:pPr>
      <w:r>
        <w:t>CAC payback period: increased 12.5% since 2022.</w:t>
      </w:r>
    </w:p>
    <w:p>
      <w:pPr>
        <w:pStyle w:val="ListBullet2"/>
      </w:pPr>
      <w:r>
        <w:t>Expansion ARR = 40% of total new ARR (50%+ for companies &gt;$50M ARR).</w:t>
      </w:r>
    </w:p>
    <w:p>
      <w:pPr>
        <w:pStyle w:val="ListBullet2"/>
      </w:pPr>
      <w:r>
        <w:t>NRR stabilizing at 110% for public SaaS.</w:t>
      </w:r>
    </w:p>
    <w:p>
      <w:pPr>
        <w:pStyle w:val="ListBullet2"/>
      </w:pPr>
      <w:r>
        <w:t>Rule of 40 performance: top quartile at 31%.</w:t>
      </w:r>
    </w:p>
    <w:p>
      <w:r>
        <w:rPr>
          <w:b/>
        </w:rPr>
        <w:t xml:space="preserve">How it improves defensibility: </w:t>
      </w:r>
      <w:r>
        <w:t>The "Expansion ARR = 40% of new ARR" finding directly informs the expansion scenario layer. Combined with CAC ratio data, it allows the model to present CLV/CAC as a benchmark-bounded range rather than a single derived point.</w:t>
      </w:r>
    </w:p>
    <w:p/>
    <w:p>
      <w:r>
        <w:rPr>
          <w:b/>
        </w:rPr>
        <w:t>Source 3: Benchmarkit 2024 B2B SaaS Performance Metrics Benchmark Report</w:t>
      </w:r>
    </w:p>
    <w:p>
      <w:r>
        <w:t>Access: https://www.benchmarkit.ai/2025benchmarks (free access)</w:t>
      </w:r>
    </w:p>
    <w:p>
      <w:pPr>
        <w:pStyle w:val="ListBullet"/>
      </w:pPr>
      <w:r>
        <w:t>What it provides:</w:t>
      </w:r>
    </w:p>
    <w:p>
      <w:pPr>
        <w:pStyle w:val="ListBullet2"/>
      </w:pPr>
      <w:r>
        <w:t>Median CLTV:CAC ratio of 3.6 (FY2023), with ideal range of 3:1 to 4:1.</w:t>
      </w:r>
    </w:p>
    <w:p>
      <w:pPr>
        <w:pStyle w:val="ListBullet2"/>
      </w:pPr>
      <w:r>
        <w:t>Blended CAC ratio decreased $0.19 (12%) in 2024 due to expansion ARR mix shift.</w:t>
      </w:r>
    </w:p>
    <w:p>
      <w:pPr>
        <w:pStyle w:val="ListBullet2"/>
      </w:pPr>
      <w:r>
        <w:t>Growth rate median: 26% in 2024, planned 35% for 2025.</w:t>
      </w:r>
    </w:p>
    <w:p>
      <w:pPr>
        <w:pStyle w:val="ListBullet2"/>
      </w:pPr>
      <w:r>
        <w:t>NRR: 101% median.</w:t>
      </w:r>
    </w:p>
    <w:p>
      <w:r>
        <w:rPr>
          <w:b/>
        </w:rPr>
        <w:t xml:space="preserve">How it improves defensibility: </w:t>
      </w:r>
      <w:r>
        <w:t>The CLTV:CAC ratio of 3.6 provides a direct sanity check. If the model's derived CLV/CAC falls outside the 2.5–5.0 range, the anomaly alert is justified and the model should flag it as "outside industry norms." This transforms the CLV&lt;CAC alert from an unexplained failure into a benchmark-contextualized finding.</w:t>
      </w:r>
    </w:p>
    <w:p>
      <w:r>
        <w:br w:type="page"/>
      </w:r>
    </w:p>
    <w:p>
      <w:pPr>
        <w:pStyle w:val="Heading2"/>
      </w:pPr>
      <w:r>
        <w:t>3.3 Domain Transfer — Churn-to-Streaming Dataset Bridging</w:t>
      </w:r>
    </w:p>
    <w:p>
      <w:pPr>
        <w:pStyle w:val="Heading3"/>
      </w:pPr>
      <w:r>
        <w:t>Current State</w:t>
      </w:r>
    </w:p>
    <w:p>
      <w:r>
        <w:t>The model uses a Kaggle customer churn dataset (cross-sectional, with explicit churn labels) as the retention engine, and a separate streaming dataset (active memberships only, no churn observed) as the acquisition/revenue engine. The v2 report stopped row-level mixing but the domain transfer criterion (5 points) still fails. The "portfolio scenario outputs are appendix-grade transfer scenarios, not headline forecasts."</w:t>
      </w:r>
    </w:p>
    <w:p>
      <w:pPr>
        <w:pStyle w:val="Heading3"/>
      </w:pPr>
      <w:r>
        <w:t>Free Public Data Sources to Validate Domain Transfer</w:t>
      </w:r>
    </w:p>
    <w:p>
      <w:r>
        <w:rPr>
          <w:b/>
        </w:rPr>
        <w:t>Source 1: Antenna Streaming Analytics — Public Insights</w:t>
      </w:r>
    </w:p>
    <w:p>
      <w:r>
        <w:t>Access: https://www.antenna.live/insights (free published research; no login required)</w:t>
      </w:r>
    </w:p>
    <w:p>
      <w:pPr>
        <w:pStyle w:val="ListBullet"/>
      </w:pPr>
      <w:r>
        <w:t>What it provides:</w:t>
      </w:r>
    </w:p>
    <w:p>
      <w:pPr>
        <w:pStyle w:val="ListBullet2"/>
      </w:pPr>
      <w:r>
        <w:t>Premium SVOD weighted average gross churn: 5.3% (Sept 2024).</w:t>
      </w:r>
    </w:p>
    <w:p>
      <w:pPr>
        <w:pStyle w:val="ListBullet2"/>
      </w:pPr>
      <w:r>
        <w:t>Premium SVOD weighted average net churn: 3.1% (Sept 2024).</w:t>
      </w:r>
    </w:p>
    <w:p>
      <w:pPr>
        <w:pStyle w:val="ListBullet2"/>
      </w:pPr>
      <w:r>
        <w:t>Netflix: 1.8% gross churn, 1.0% net churn (Sept 2024).</w:t>
      </w:r>
    </w:p>
    <w:p>
      <w:pPr>
        <w:pStyle w:val="ListBullet2"/>
      </w:pPr>
      <w:r>
        <w:t>Peacock: 7.4% gross, 4.0% net churn — showing high variance across platforms.</w:t>
      </w:r>
    </w:p>
    <w:p>
      <w:pPr>
        <w:pStyle w:val="ListBullet2"/>
      </w:pPr>
      <w:r>
        <w:t>Churn stabilization trend: ~5% average since Jan 2023.</w:t>
      </w:r>
    </w:p>
    <w:p>
      <w:pPr>
        <w:pStyle w:val="ListBullet2"/>
      </w:pPr>
      <w:r>
        <w:t>Resubscription rates: 10% return next month, 23% within 3 months, 41% within 1 year.</w:t>
      </w:r>
    </w:p>
    <w:p>
      <w:r>
        <w:rPr>
          <w:b/>
        </w:rPr>
        <w:t xml:space="preserve">How it improves defensibility: </w:t>
      </w:r>
      <w:r>
        <w:t>This is the single most valuable source for domain transfer validation. If the churn rates derived from the Kaggle churn dataset (monthly: 51.6%, quarterly: 44.0%, annual: 46.2%) are dramatically higher than real streaming churn (2–7%), this quantifies the domain gap. The model should present a "domain transfer discount table" showing how Kaggle churn maps to realistic streaming churn using Antenna benchmarks as calibration targets.</w:t>
      </w:r>
    </w:p>
    <w:p/>
    <w:p>
      <w:r>
        <w:rPr>
          <w:b/>
        </w:rPr>
        <w:t>Source 2: Netflix, Disney, Warner Bros. Discovery Quarterly Earnings Reports</w:t>
      </w:r>
    </w:p>
    <w:p>
      <w:r>
        <w:t>Access: https://ir.netflix.net/ ; https://thewaltdisneycompany.com/investor-relations/ ; SEC EDGAR (free)</w:t>
      </w:r>
    </w:p>
    <w:p>
      <w:pPr>
        <w:pStyle w:val="ListBullet"/>
      </w:pPr>
      <w:r>
        <w:t>What it provides:</w:t>
      </w:r>
    </w:p>
    <w:p>
      <w:pPr>
        <w:pStyle w:val="ListBullet2"/>
      </w:pPr>
      <w:r>
        <w:t>Netflix churn rate: ~2.0–2.5% monthly (consistently lowest in industry).</w:t>
      </w:r>
    </w:p>
    <w:p>
      <w:pPr>
        <w:pStyle w:val="ListBullet2"/>
      </w:pPr>
      <w:r>
        <w:t>Disney+ churn: ~5.5% monthly.</w:t>
      </w:r>
    </w:p>
    <w:p>
      <w:pPr>
        <w:pStyle w:val="ListBullet2"/>
      </w:pPr>
      <w:r>
        <w:t>Subscriber adds/losses by quarter and region.</w:t>
      </w:r>
    </w:p>
    <w:p>
      <w:pPr>
        <w:pStyle w:val="ListBullet2"/>
      </w:pPr>
      <w:r>
        <w:t>ARPU trends that validate revenue-per-subscriber proxies.</w:t>
      </w:r>
    </w:p>
    <w:p>
      <w:pPr>
        <w:pStyle w:val="ListBullet2"/>
      </w:pPr>
      <w:r>
        <w:t>Impact of price increases on churn (Disney+ reported "temporary uptick").</w:t>
      </w:r>
    </w:p>
    <w:p>
      <w:r>
        <w:rPr>
          <w:b/>
        </w:rPr>
        <w:t xml:space="preserve">How it improves defensibility: </w:t>
      </w:r>
      <w:r>
        <w:t>Public filings provide the gold standard for streaming churn validation. The model can state: "Our retention engine calibration targets are set to the range observed in public streaming company disclosures (2–7% monthly), rather than the raw Kaggle churn dataset rates which reflect a different customer population."</w:t>
      </w:r>
    </w:p>
    <w:p/>
    <w:p>
      <w:r>
        <w:rPr>
          <w:b/>
        </w:rPr>
        <w:t>Source 3: Churnkey Streaming Churn Benchmark Report</w:t>
      </w:r>
    </w:p>
    <w:p>
      <w:r>
        <w:t>Access: https://churnkey.co/blog/churn-rates-for-streaming-services/ (free blog with comprehensive data)</w:t>
      </w:r>
    </w:p>
    <w:p>
      <w:pPr>
        <w:pStyle w:val="ListBullet"/>
      </w:pPr>
      <w:r>
        <w:t>What it provides:</w:t>
      </w:r>
    </w:p>
    <w:p>
      <w:pPr>
        <w:pStyle w:val="ListBullet2"/>
      </w:pPr>
      <w:r>
        <w:t>Average streaming churn: 5.5% monthly (Q1 2025), up from 2% in 2019.</w:t>
      </w:r>
    </w:p>
    <w:p>
      <w:pPr>
        <w:pStyle w:val="ListBullet2"/>
      </w:pPr>
      <w:r>
        <w:t>Platform-specific churn: Netflix 2.1%, Amazon 3.5–4.1%, Max 6–6.9%, Disney+ 5.5%, Apple TV+ 6.5–7%.</w:t>
      </w:r>
    </w:p>
    <w:p>
      <w:pPr>
        <w:pStyle w:val="ListBullet2"/>
      </w:pPr>
      <w:r>
        <w:t>Bundling impact: bundles have 29% churn potential vs. 70% for standalone.</w:t>
      </w:r>
    </w:p>
    <w:p>
      <w:pPr>
        <w:pStyle w:val="ListBullet2"/>
      </w:pPr>
      <w:r>
        <w:t>Serial churner data: 23% of US streaming audience cancel 3+ services in 2 years.</w:t>
      </w:r>
    </w:p>
    <w:p>
      <w:pPr>
        <w:pStyle w:val="ListBullet2"/>
      </w:pPr>
      <w:r>
        <w:t>Content completion churn: 26% cancel after finishing target content.</w:t>
      </w:r>
    </w:p>
    <w:p>
      <w:r>
        <w:rPr>
          <w:b/>
        </w:rPr>
        <w:t xml:space="preserve">How it improves defensibility: </w:t>
      </w:r>
      <w:r>
        <w:t>Provides granular platform-by-platform churn rates and behavioral segmentation (serial churners, content-completion churners) that the model can use to create more realistic churn cohort assumptions for the streaming portion of the driver tree.</w:t>
      </w:r>
    </w:p>
    <w:p>
      <w:r>
        <w:br w:type="page"/>
      </w:r>
    </w:p>
    <w:p>
      <w:pPr>
        <w:pStyle w:val="Heading2"/>
      </w:pPr>
      <w:r>
        <w:t>3.4 Reactivation Rates — Fabricated / Hypothetical</w:t>
      </w:r>
    </w:p>
    <w:p>
      <w:pPr>
        <w:pStyle w:val="Heading3"/>
      </w:pPr>
      <w:r>
        <w:t>Current State</w:t>
      </w:r>
    </w:p>
    <w:p>
      <w:r>
        <w:t>Reactivation rates are currently listed as "scenario-only" — fabricated values explicitly labeled as hypothetical. No observed reactivation events exist in either source dataset. This is one of the model's most significant defensibility gaps because reactivation directly impacts net churn, CLV, and the connected MRR forecast.</w:t>
      </w:r>
    </w:p>
    <w:p>
      <w:pPr>
        <w:pStyle w:val="Heading3"/>
      </w:pPr>
      <w:r>
        <w:t>Free Public Data Sources to Ground Reactivation Assumptions</w:t>
      </w:r>
    </w:p>
    <w:p>
      <w:r>
        <w:rPr>
          <w:b/>
        </w:rPr>
        <w:t>Source 1: Antenna — Net Churn &amp; Resubscription Research (HIGHEST PRIORITY)</w:t>
      </w:r>
    </w:p>
    <w:p>
      <w:r>
        <w:t>Access: https://www.antenna.live/insights/antennas-2024-top-subscription-insights-net-churn</w:t>
      </w:r>
    </w:p>
    <w:p>
      <w:pPr>
        <w:pStyle w:val="ListBullet"/>
      </w:pPr>
      <w:r>
        <w:t>What it provides:</w:t>
      </w:r>
    </w:p>
    <w:p>
      <w:pPr>
        <w:pStyle w:val="ListBullet2"/>
      </w:pPr>
      <w:r>
        <w:t>Resubscription curve: 10% return in month 1, 23% by month 3, 37% by month 9, 41% by month 12.</w:t>
      </w:r>
    </w:p>
    <w:p>
      <w:pPr>
        <w:pStyle w:val="ListBullet2"/>
      </w:pPr>
      <w:r>
        <w:t>Net churn vs. gross churn decomposition proving reactivation is material (5.3% gross → 3.1% net for premium SVOD).</w:t>
      </w:r>
    </w:p>
    <w:p>
      <w:pPr>
        <w:pStyle w:val="ListBullet2"/>
      </w:pPr>
      <w:r>
        <w:t>Serial churner prevalence: 23% of audience in 2023 (up from 3% in 2019).</w:t>
      </w:r>
    </w:p>
    <w:p>
      <w:pPr>
        <w:pStyle w:val="ListBullet2"/>
      </w:pPr>
      <w:r>
        <w:t>Platform-specific reactivation variance.</w:t>
      </w:r>
    </w:p>
    <w:p>
      <w:r>
        <w:rPr>
          <w:b/>
        </w:rPr>
        <w:t xml:space="preserve">How it improves defensibility: </w:t>
      </w:r>
      <w:r>
        <w:t>THIS IS THE SINGLE MOST IMPACTFUL DATA SOURCE FOR THE MODEL. The Antenna resubscription curve provides an empirically observed, time-decay reactivation schedule that can directly replace the fabricated flat reactivation rate. Implementation: replace the constant reactivation rate with a month-since-churn decay function calibrated to the Antenna curve (10% → 23% → 37% → 41% cumulative). The scenario layer would then become "benchmark-calibrated" rather than "fabricated."</w:t>
      </w:r>
    </w:p>
    <w:p/>
    <w:p>
      <w:r>
        <w:rPr>
          <w:b/>
        </w:rPr>
        <w:t>Source 2: Netflix Public Statements on Win-Back Rates</w:t>
      </w:r>
    </w:p>
    <w:p>
      <w:r>
        <w:t>Access: Netflix earnings transcripts and investor letters (free via ir.netflix.net or seekingalpha.com/symbol/NFLX/earnings/transcripts)</w:t>
      </w:r>
    </w:p>
    <w:p>
      <w:pPr>
        <w:pStyle w:val="ListBullet"/>
      </w:pPr>
      <w:r>
        <w:t>What it provides:</w:t>
      </w:r>
    </w:p>
    <w:p>
      <w:pPr>
        <w:pStyle w:val="ListBullet2"/>
      </w:pPr>
      <w:r>
        <w:t>50% of subscribers who canceled in 2023 returned within 6 months.</w:t>
      </w:r>
    </w:p>
    <w:p>
      <w:pPr>
        <w:pStyle w:val="ListBullet2"/>
      </w:pPr>
      <w:r>
        <w:t>61% of cancelers rejoined within 1 year.</w:t>
      </w:r>
    </w:p>
    <w:p>
      <w:pPr>
        <w:pStyle w:val="ListBullet2"/>
      </w:pPr>
      <w:r>
        <w:t>Net gain of 50 million subscribers globally after password-sharing crackdown (late 2023 – Q4 2024).</w:t>
      </w:r>
    </w:p>
    <w:p>
      <w:r>
        <w:rPr>
          <w:b/>
        </w:rPr>
        <w:t xml:space="preserve">How it improves defensibility: </w:t>
      </w:r>
      <w:r>
        <w:t>Netflix's 50%/6-month and 61%/12-month reactivation rates provide an upper-bound calibration point for the reactivation scenario. Since Netflix has the lowest churn and strongest brand, using it as an upper bound is methodologically sound.</w:t>
      </w:r>
    </w:p>
    <w:p/>
    <w:p>
      <w:r>
        <w:rPr>
          <w:b/>
        </w:rPr>
        <w:t>Source 3: ChartMogul — Reactivation MRR Benchmark</w:t>
      </w:r>
    </w:p>
    <w:p>
      <w:r>
        <w:t>Access: https://chartmogul.com/reports/saas-benchmarks-report/</w:t>
      </w:r>
    </w:p>
    <w:p>
      <w:pPr>
        <w:pStyle w:val="ListBullet"/>
      </w:pPr>
      <w:r>
        <w:t>What it provides:</w:t>
      </w:r>
    </w:p>
    <w:p>
      <w:pPr>
        <w:pStyle w:val="ListBullet2"/>
      </w:pPr>
      <w:r>
        <w:t>Reactivation MRR has remained stable at approximately 10% of total ARR gained across SaaS companies.</w:t>
      </w:r>
    </w:p>
    <w:p>
      <w:pPr>
        <w:pStyle w:val="ListBullet2"/>
      </w:pPr>
      <w:r>
        <w:t>This provides a SaaS-specific (not streaming) reactivation benchmark.</w:t>
      </w:r>
    </w:p>
    <w:p>
      <w:r>
        <w:rPr>
          <w:b/>
        </w:rPr>
        <w:t xml:space="preserve">How it improves defensibility: </w:t>
      </w:r>
      <w:r>
        <w:t>For the SaaS side of the driver tree, the "reactivation = 10% of ARR gained" benchmark from ChartMogul provides a simple, defensible calibration. Combined with the Antenna streaming data, the model can present separate reactivation assumptions for SaaS vs. streaming, both grounded in published benchmarks.</w:t>
      </w:r>
    </w:p>
    <w:p/>
    <w:p>
      <w:r>
        <w:rPr>
          <w:b/>
        </w:rPr>
        <w:t>Source 4: Recurly — Pause &amp; Win-Back Subscriber Data</w:t>
      </w:r>
    </w:p>
    <w:p>
      <w:r>
        <w:t>Access: https://recurly.com/resources/report/state-of-subscriptions/ (free report)</w:t>
      </w:r>
    </w:p>
    <w:p>
      <w:pPr>
        <w:pStyle w:val="ListBullet"/>
      </w:pPr>
      <w:r>
        <w:t>What it provides:</w:t>
      </w:r>
    </w:p>
    <w:p>
      <w:pPr>
        <w:pStyle w:val="ListBullet2"/>
      </w:pPr>
      <w:r>
        <w:t>Pause feature usage increased 337% YoY among top merchants.</w:t>
      </w:r>
    </w:p>
    <w:p>
      <w:pPr>
        <w:pStyle w:val="ListBullet2"/>
      </w:pPr>
      <w:r>
        <w:t>3 out of 4 subscribers who pause eventually return (75% reactivation from pause).</w:t>
      </w:r>
    </w:p>
    <w:p>
      <w:pPr>
        <w:pStyle w:val="ListBullet2"/>
      </w:pPr>
      <w:r>
        <w:t>Overall subscriber retention rate (RIPR): 95.6%.</w:t>
      </w:r>
    </w:p>
    <w:p>
      <w:pPr>
        <w:pStyle w:val="ListBullet2"/>
      </w:pPr>
      <w:r>
        <w:t>Revenue recovery from decline management: $1.6B annually across Recurly's base.</w:t>
      </w:r>
    </w:p>
    <w:p>
      <w:r>
        <w:rPr>
          <w:b/>
        </w:rPr>
        <w:t xml:space="preserve">How it improves defensibility: </w:t>
      </w:r>
      <w:r>
        <w:t>The "75% of paused subscribers return" data point is valuable for modeling a reactivation segment: customers who pause (rather than hard-cancel) have significantly higher reactivation rates. This supports a segmented reactivation model rather than a single flat rate.</w:t>
      </w:r>
    </w:p>
    <w:p>
      <w:r>
        <w:br w:type="page"/>
      </w:r>
    </w:p>
    <w:p>
      <w:pPr>
        <w:pStyle w:val="Heading2"/>
      </w:pPr>
      <w:r>
        <w:t>3.5 Expansion &amp; Upgrade Rates — Fabricated / Hypothetical</w:t>
      </w:r>
    </w:p>
    <w:p>
      <w:pPr>
        <w:pStyle w:val="Heading3"/>
      </w:pPr>
      <w:r>
        <w:t>Current State</w:t>
      </w:r>
    </w:p>
    <w:p>
      <w:r>
        <w:t>The expansion/upgrade layer is scenario-only because "no observed upgrade or seat-growth event history exists in the supplied source files." The model contributes an average expansion MRR of 265.79 (about 7% of total MRR). This is correctly isolated and warning-labeled, but a reviewer could dismiss the entire expansion contribution as speculative.</w:t>
      </w:r>
    </w:p>
    <w:p>
      <w:pPr>
        <w:pStyle w:val="Heading3"/>
      </w:pPr>
      <w:r>
        <w:t>Free Public Data Sources to Ground Expansion Assumptions</w:t>
      </w:r>
    </w:p>
    <w:p>
      <w:r>
        <w:rPr>
          <w:b/>
        </w:rPr>
        <w:t>Source 1: OpenView / Benchmarkit — Expansion ARR Decomposition (HIGHEST PRIORITY)</w:t>
      </w:r>
    </w:p>
    <w:p>
      <w:r>
        <w:t>Access: https://www.highalpha.com/saas-benchmarks/2024 and https://www.benchmarkit.ai/2025benchmarks</w:t>
      </w:r>
    </w:p>
    <w:p>
      <w:pPr>
        <w:pStyle w:val="ListBullet"/>
      </w:pPr>
      <w:r>
        <w:t>What it provides:</w:t>
      </w:r>
    </w:p>
    <w:p>
      <w:pPr>
        <w:pStyle w:val="ListBullet2"/>
      </w:pPr>
      <w:r>
        <w:t>Expansion ARR = 40% of total new ARR across all SaaS (2024), up 5% YoY.</w:t>
      </w:r>
    </w:p>
    <w:p>
      <w:pPr>
        <w:pStyle w:val="ListBullet2"/>
      </w:pPr>
      <w:r>
        <w:t>For companies &gt;$50M ARR: expansion = 50–67% of new ARR.</w:t>
      </w:r>
    </w:p>
    <w:p>
      <w:pPr>
        <w:pStyle w:val="ListBullet2"/>
      </w:pPr>
      <w:r>
        <w:t>Expansion revenue proportion rising: from 28.8% (2020) to 32.3% (current) per ChartMogul.</w:t>
      </w:r>
    </w:p>
    <w:p>
      <w:pPr>
        <w:pStyle w:val="ListBullet2"/>
      </w:pPr>
      <w:r>
        <w:t>NRR median: 101–106% (private), 110–114% (public).</w:t>
      </w:r>
    </w:p>
    <w:p>
      <w:pPr>
        <w:pStyle w:val="ListBullet2"/>
      </w:pPr>
      <w:r>
        <w:t>Best-in-class NRR: &gt;130% (infrastructure/DevOps), ~118% (vertical SaaS).</w:t>
      </w:r>
    </w:p>
    <w:p>
      <w:r>
        <w:rPr>
          <w:b/>
        </w:rPr>
        <w:t xml:space="preserve">How it improves defensibility: </w:t>
      </w:r>
      <w:r>
        <w:t>The model's expansion contribution of ~7% of MRR can be directly benchmarked against the industry norm of expansion = 28–40% of new ARR. If the model is underestimating expansion, this justifies a higher scenario range. If it's within range, the benchmark validates the assumption. Either way, the expansion layer moves from "fabricated" to "benchmark-bounded."</w:t>
      </w:r>
    </w:p>
    <w:p/>
    <w:p>
      <w:r>
        <w:rPr>
          <w:b/>
        </w:rPr>
        <w:t>Source 2: Public SaaS Company NRR Disclosures</w:t>
      </w:r>
    </w:p>
    <w:p>
      <w:r>
        <w:t>Access: SEC EDGAR filings (free) — search 10-K/10-Q filings for "net revenue retention" or "dollar-based net retention"</w:t>
      </w:r>
    </w:p>
    <w:p>
      <w:pPr>
        <w:pStyle w:val="ListBullet"/>
      </w:pPr>
      <w:r>
        <w:t>What it provides:</w:t>
      </w:r>
    </w:p>
    <w:p>
      <w:pPr>
        <w:pStyle w:val="ListBullet2"/>
      </w:pPr>
      <w:r>
        <w:t>Snowflake: 158% NRR → 58% implied expansion rate.</w:t>
      </w:r>
    </w:p>
    <w:p>
      <w:pPr>
        <w:pStyle w:val="ListBullet2"/>
      </w:pPr>
      <w:r>
        <w:t>Datadog: 130% NRR → 30% implied expansion rate.</w:t>
      </w:r>
    </w:p>
    <w:p>
      <w:pPr>
        <w:pStyle w:val="ListBullet2"/>
      </w:pPr>
      <w:r>
        <w:t>Slack: Consistently &gt;140% NRR since IPO.</w:t>
      </w:r>
    </w:p>
    <w:p>
      <w:pPr>
        <w:pStyle w:val="ListBullet2"/>
      </w:pPr>
      <w:r>
        <w:t>HubSpot: 103% NRR → 3% expansion rate (SMB-heavy).</w:t>
      </w:r>
    </w:p>
    <w:p>
      <w:pPr>
        <w:pStyle w:val="ListBullet2"/>
      </w:pPr>
      <w:r>
        <w:t>Zoom: Dropped from 130%+ to 98% (post-pandemic contraction).</w:t>
      </w:r>
    </w:p>
    <w:p>
      <w:r>
        <w:rPr>
          <w:b/>
        </w:rPr>
        <w:t xml:space="preserve">How it improves defensibility: </w:t>
      </w:r>
      <w:r>
        <w:t>NRR disclosures from public companies provide a direct decomposition of expansion vs. churn. The model can present expansion rate scenarios calibrated to "SMB-like" (NRR 95–105%), "mid-market" (NRR 105–115%), or "enterprise/infrastructure" (NRR 115–130%+) benchmarks from actual public filings.</w:t>
      </w:r>
    </w:p>
    <w:p/>
    <w:p>
      <w:r>
        <w:rPr>
          <w:b/>
        </w:rPr>
        <w:t>Source 3: Streaming Plan Upgrade Data — Public Pricing &amp; Tier Migration</w:t>
      </w:r>
    </w:p>
    <w:p>
      <w:r>
        <w:t>Access: Netflix, Disney+, Max, and other streamer pricing pages and quarterly earnings calls</w:t>
      </w:r>
    </w:p>
    <w:p>
      <w:pPr>
        <w:pStyle w:val="ListBullet"/>
      </w:pPr>
      <w:r>
        <w:t>What it provides:</w:t>
      </w:r>
    </w:p>
    <w:p>
      <w:pPr>
        <w:pStyle w:val="ListBullet2"/>
      </w:pPr>
      <w:r>
        <w:t>Netflix: 55% of new sign-ups chose ad-supported plan in Q1 2025 — indicating upsell runway to premium.</w:t>
      </w:r>
    </w:p>
    <w:p>
      <w:pPr>
        <w:pStyle w:val="ListBullet2"/>
      </w:pPr>
      <w:r>
        <w:t>Disney+ Duo bundle pricing creates natural upgrade paths from standalone to bundle.</w:t>
      </w:r>
    </w:p>
    <w:p>
      <w:pPr>
        <w:pStyle w:val="ListBullet2"/>
      </w:pPr>
      <w:r>
        <w:t>Max: tiered pricing (With Ads $9.99, Ad-Free $15.99, Ultimate $19.99) creates measurable upgrade steps.</w:t>
      </w:r>
    </w:p>
    <w:p>
      <w:pPr>
        <w:pStyle w:val="ListBullet2"/>
      </w:pPr>
      <w:r>
        <w:t>Netflix ARPU growth from $10.82 → $11.70 (8.1% YoY) partly attributable to tier migration.</w:t>
      </w:r>
    </w:p>
    <w:p>
      <w:r>
        <w:rPr>
          <w:b/>
        </w:rPr>
        <w:t xml:space="preserve">How it improves defensibility: </w:t>
      </w:r>
      <w:r>
        <w:t>For the streaming side of the driver tree, the ad-supported → premium tier migration creates a natural expansion motion. Netflix's 8.1% ARPU growth implies a blend of price increases and tier upgrades. This provides an empirically grounded expansion rate for streaming that differs from but complements SaaS NRR-based expansion.</w:t>
      </w:r>
    </w:p>
    <w:p/>
    <w:p>
      <w:r>
        <w:rPr>
          <w:b/>
        </w:rPr>
        <w:t>Source 4: Vitally / Vena Solutions — SaaS Churn Segmentation Benchmarks</w:t>
      </w:r>
    </w:p>
    <w:p>
      <w:r>
        <w:t>Access: https://www.vitally.io/post/saas-churn-benchmarks and https://www.venasolutions.com/blog/saas-churn-rate</w:t>
      </w:r>
    </w:p>
    <w:p>
      <w:pPr>
        <w:pStyle w:val="ListBullet"/>
      </w:pPr>
      <w:r>
        <w:t>What it provides:</w:t>
      </w:r>
    </w:p>
    <w:p>
      <w:pPr>
        <w:pStyle w:val="ListBullet2"/>
      </w:pPr>
      <w:r>
        <w:t>B2B SaaS average churn: 3.5% monthly (2025); voluntary 2.6%, involuntary 0.8%.</w:t>
      </w:r>
    </w:p>
    <w:p>
      <w:pPr>
        <w:pStyle w:val="ListBullet2"/>
      </w:pPr>
      <w:r>
        <w:t>Churn by ARPU: &gt;$250/month has 5.0% user churn vs. $25–$50 at 7.3%.</w:t>
      </w:r>
    </w:p>
    <w:p>
      <w:pPr>
        <w:pStyle w:val="ListBullet2"/>
      </w:pPr>
      <w:r>
        <w:t>Segment benchmarks: SMB 3–7% monthly; Enterprise ≤1% monthly.</w:t>
      </w:r>
    </w:p>
    <w:p>
      <w:pPr>
        <w:pStyle w:val="ListBullet2"/>
      </w:pPr>
      <w:r>
        <w:t>Addressing involuntary churn can increase revenue by 8.6% in Year 1.</w:t>
      </w:r>
    </w:p>
    <w:p>
      <w:r>
        <w:rPr>
          <w:b/>
        </w:rPr>
        <w:t xml:space="preserve">How it improves defensibility: </w:t>
      </w:r>
      <w:r>
        <w:t>These segmentation benchmarks help calibrate the retention engine by ARPU band and customer segment, making the churn predictions more realistic than a single blended rate. The involuntary churn insight (0.8%) also provides a "recoverable churn" segment that supports the reactivation layer.</w:t>
      </w:r>
    </w:p>
    <w:p>
      <w:r>
        <w:br w:type="page"/>
      </w:r>
    </w:p>
    <w:p>
      <w:pPr>
        <w:pStyle w:val="Heading1"/>
      </w:pPr>
      <w:r>
        <w:t>4. Master Data Source Reference Table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Source</w:t>
            </w:r>
          </w:p>
        </w:tc>
        <w:tc>
          <w:tcPr>
            <w:tcW w:type="dxa" w:w="1728"/>
          </w:tcPr>
          <w:p>
            <w:r>
              <w:rPr>
                <w:b/>
                <w:sz w:val="18"/>
              </w:rPr>
              <w:t>Key Metrics</w:t>
            </w:r>
          </w:p>
        </w:tc>
        <w:tc>
          <w:tcPr>
            <w:tcW w:type="dxa" w:w="1728"/>
          </w:tcPr>
          <w:p>
            <w:r>
              <w:rPr>
                <w:b/>
                <w:sz w:val="18"/>
              </w:rPr>
              <w:t>URL / Access</w:t>
            </w:r>
          </w:p>
        </w:tc>
        <w:tc>
          <w:tcPr>
            <w:tcW w:type="dxa" w:w="1728"/>
          </w:tcPr>
          <w:p>
            <w:r>
              <w:rPr>
                <w:b/>
                <w:sz w:val="18"/>
              </w:rPr>
              <w:t>Cost</w:t>
            </w:r>
          </w:p>
        </w:tc>
        <w:tc>
          <w:tcPr>
            <w:tcW w:type="dxa" w:w="1728"/>
          </w:tcPr>
          <w:p>
            <w:r>
              <w:rPr>
                <w:b/>
                <w:sz w:val="18"/>
              </w:rPr>
              <w:t>Limitations Addressed</w:t>
            </w:r>
          </w:p>
        </w:tc>
      </w:tr>
      <w:tr>
        <w:tc>
          <w:tcPr>
            <w:tcW w:type="dxa" w:w="1728"/>
          </w:tcPr>
          <w:p>
            <w:r>
              <w:rPr>
                <w:sz w:val="18"/>
              </w:rPr>
              <w:t>Netflix SEC Filings</w:t>
            </w:r>
          </w:p>
        </w:tc>
        <w:tc>
          <w:tcPr>
            <w:tcW w:type="dxa" w:w="1728"/>
          </w:tcPr>
          <w:p>
            <w:r>
              <w:rPr>
                <w:sz w:val="18"/>
              </w:rPr>
              <w:t>ARPU/ARM, subscriber counts, churn</w:t>
            </w:r>
          </w:p>
        </w:tc>
        <w:tc>
          <w:tcPr>
            <w:tcW w:type="dxa" w:w="1728"/>
          </w:tcPr>
          <w:p>
            <w:r>
              <w:rPr>
                <w:sz w:val="18"/>
              </w:rPr>
              <w:t>https://ir.netflix.net/</w:t>
            </w:r>
          </w:p>
        </w:tc>
        <w:tc>
          <w:tcPr>
            <w:tcW w:type="dxa" w:w="1728"/>
          </w:tcPr>
          <w:p>
            <w:r>
              <w:rPr>
                <w:sz w:val="18"/>
              </w:rPr>
              <w:t>Free, no registration</w:t>
            </w:r>
          </w:p>
        </w:tc>
        <w:tc>
          <w:tcPr>
            <w:tcW w:type="dxa" w:w="1728"/>
          </w:tcPr>
          <w:p>
            <w:r>
              <w:rPr>
                <w:sz w:val="18"/>
              </w:rPr>
              <w:t>MRR proxy, Domain transfer</w:t>
            </w:r>
          </w:p>
        </w:tc>
      </w:tr>
      <w:tr>
        <w:tc>
          <w:tcPr>
            <w:tcW w:type="dxa" w:w="1728"/>
          </w:tcPr>
          <w:p>
            <w:r>
              <w:rPr>
                <w:sz w:val="18"/>
              </w:rPr>
              <w:t>Disney/WBD SEC Filings</w:t>
            </w:r>
          </w:p>
        </w:tc>
        <w:tc>
          <w:tcPr>
            <w:tcW w:type="dxa" w:w="1728"/>
          </w:tcPr>
          <w:p>
            <w:r>
              <w:rPr>
                <w:sz w:val="18"/>
              </w:rPr>
              <w:t>ARPU, subscriber data, churn</w:t>
            </w:r>
          </w:p>
        </w:tc>
        <w:tc>
          <w:tcPr>
            <w:tcW w:type="dxa" w:w="1728"/>
          </w:tcPr>
          <w:p>
            <w:r>
              <w:rPr>
                <w:sz w:val="18"/>
              </w:rPr>
              <w:t>SEC EDGAR (sec.gov)</w:t>
            </w:r>
          </w:p>
        </w:tc>
        <w:tc>
          <w:tcPr>
            <w:tcW w:type="dxa" w:w="1728"/>
          </w:tcPr>
          <w:p>
            <w:r>
              <w:rPr>
                <w:sz w:val="18"/>
              </w:rPr>
              <w:t>Free, no registration</w:t>
            </w:r>
          </w:p>
        </w:tc>
        <w:tc>
          <w:tcPr>
            <w:tcW w:type="dxa" w:w="1728"/>
          </w:tcPr>
          <w:p>
            <w:r>
              <w:rPr>
                <w:sz w:val="18"/>
              </w:rPr>
              <w:t>MRR proxy, Domain transfer</w:t>
            </w:r>
          </w:p>
        </w:tc>
      </w:tr>
      <w:tr>
        <w:tc>
          <w:tcPr>
            <w:tcW w:type="dxa" w:w="1728"/>
          </w:tcPr>
          <w:p>
            <w:r>
              <w:rPr>
                <w:sz w:val="18"/>
              </w:rPr>
              <w:t>Antenna Insights</w:t>
            </w:r>
          </w:p>
        </w:tc>
        <w:tc>
          <w:tcPr>
            <w:tcW w:type="dxa" w:w="1728"/>
          </w:tcPr>
          <w:p>
            <w:r>
              <w:rPr>
                <w:sz w:val="18"/>
              </w:rPr>
              <w:t>Gross/net churn, resubscription curves</w:t>
            </w:r>
          </w:p>
        </w:tc>
        <w:tc>
          <w:tcPr>
            <w:tcW w:type="dxa" w:w="1728"/>
          </w:tcPr>
          <w:p>
            <w:r>
              <w:rPr>
                <w:sz w:val="18"/>
              </w:rPr>
              <w:t>https://www.antenna.live/insights</w:t>
            </w:r>
          </w:p>
        </w:tc>
        <w:tc>
          <w:tcPr>
            <w:tcW w:type="dxa" w:w="1728"/>
          </w:tcPr>
          <w:p>
            <w:r>
              <w:rPr>
                <w:sz w:val="18"/>
              </w:rPr>
              <w:t>Free published research</w:t>
            </w:r>
          </w:p>
        </w:tc>
        <w:tc>
          <w:tcPr>
            <w:tcW w:type="dxa" w:w="1728"/>
          </w:tcPr>
          <w:p>
            <w:r>
              <w:rPr>
                <w:sz w:val="18"/>
              </w:rPr>
              <w:t>Reactivation, Domain transfer</w:t>
            </w:r>
          </w:p>
        </w:tc>
      </w:tr>
      <w:tr>
        <w:tc>
          <w:tcPr>
            <w:tcW w:type="dxa" w:w="1728"/>
          </w:tcPr>
          <w:p>
            <w:r>
              <w:rPr>
                <w:sz w:val="18"/>
              </w:rPr>
              <w:t>Recurly Research</w:t>
            </w:r>
          </w:p>
        </w:tc>
        <w:tc>
          <w:tcPr>
            <w:tcW w:type="dxa" w:w="1728"/>
          </w:tcPr>
          <w:p>
            <w:r>
              <w:rPr>
                <w:sz w:val="18"/>
              </w:rPr>
              <w:t>Churn by ARPC, involuntary churn, pause rates</w:t>
            </w:r>
          </w:p>
        </w:tc>
        <w:tc>
          <w:tcPr>
            <w:tcW w:type="dxa" w:w="1728"/>
          </w:tcPr>
          <w:p>
            <w:r>
              <w:rPr>
                <w:sz w:val="18"/>
              </w:rPr>
              <w:t>https://recurly.com/research/churn-rate-benchmarks/</w:t>
            </w:r>
          </w:p>
        </w:tc>
        <w:tc>
          <w:tcPr>
            <w:tcW w:type="dxa" w:w="1728"/>
          </w:tcPr>
          <w:p>
            <w:r>
              <w:rPr>
                <w:sz w:val="18"/>
              </w:rPr>
              <w:t>Free, no registration</w:t>
            </w:r>
          </w:p>
        </w:tc>
        <w:tc>
          <w:tcPr>
            <w:tcW w:type="dxa" w:w="1728"/>
          </w:tcPr>
          <w:p>
            <w:r>
              <w:rPr>
                <w:sz w:val="18"/>
              </w:rPr>
              <w:t>MRR proxy, Reactivation</w:t>
            </w:r>
          </w:p>
        </w:tc>
      </w:tr>
      <w:tr>
        <w:tc>
          <w:tcPr>
            <w:tcW w:type="dxa" w:w="1728"/>
          </w:tcPr>
          <w:p>
            <w:r>
              <w:rPr>
                <w:sz w:val="18"/>
              </w:rPr>
              <w:t>ChartMogul Reports</w:t>
            </w:r>
          </w:p>
        </w:tc>
        <w:tc>
          <w:tcPr>
            <w:tcW w:type="dxa" w:w="1728"/>
          </w:tcPr>
          <w:p>
            <w:r>
              <w:rPr>
                <w:sz w:val="18"/>
              </w:rPr>
              <w:t>MRR benchmarks, reactivation MRR, NRR</w:t>
            </w:r>
          </w:p>
        </w:tc>
        <w:tc>
          <w:tcPr>
            <w:tcW w:type="dxa" w:w="1728"/>
          </w:tcPr>
          <w:p>
            <w:r>
              <w:rPr>
                <w:sz w:val="18"/>
              </w:rPr>
              <w:t>https://chartmogul.com/reports/</w:t>
            </w:r>
          </w:p>
        </w:tc>
        <w:tc>
          <w:tcPr>
            <w:tcW w:type="dxa" w:w="1728"/>
          </w:tcPr>
          <w:p>
            <w:r>
              <w:rPr>
                <w:sz w:val="18"/>
              </w:rPr>
              <w:t>Free download</w:t>
            </w:r>
          </w:p>
        </w:tc>
        <w:tc>
          <w:tcPr>
            <w:tcW w:type="dxa" w:w="1728"/>
          </w:tcPr>
          <w:p>
            <w:r>
              <w:rPr>
                <w:sz w:val="18"/>
              </w:rPr>
              <w:t>MRR, Reactivation, Expansion</w:t>
            </w:r>
          </w:p>
        </w:tc>
      </w:tr>
      <w:tr>
        <w:tc>
          <w:tcPr>
            <w:tcW w:type="dxa" w:w="1728"/>
          </w:tcPr>
          <w:p>
            <w:r>
              <w:rPr>
                <w:sz w:val="18"/>
              </w:rPr>
              <w:t>OpenView/High Alpha 2024</w:t>
            </w:r>
          </w:p>
        </w:tc>
        <w:tc>
          <w:tcPr>
            <w:tcW w:type="dxa" w:w="1728"/>
          </w:tcPr>
          <w:p>
            <w:r>
              <w:rPr>
                <w:sz w:val="18"/>
              </w:rPr>
              <w:t>CAC ratios, expansion ARR, NRR, growth</w:t>
            </w:r>
          </w:p>
        </w:tc>
        <w:tc>
          <w:tcPr>
            <w:tcW w:type="dxa" w:w="1728"/>
          </w:tcPr>
          <w:p>
            <w:r>
              <w:rPr>
                <w:sz w:val="18"/>
              </w:rPr>
              <w:t>https://www.highalpha.com/saas-benchmarks/2024</w:t>
            </w:r>
          </w:p>
        </w:tc>
        <w:tc>
          <w:tcPr>
            <w:tcW w:type="dxa" w:w="1728"/>
          </w:tcPr>
          <w:p>
            <w:r>
              <w:rPr>
                <w:sz w:val="18"/>
              </w:rPr>
              <w:t>Free download</w:t>
            </w:r>
          </w:p>
        </w:tc>
        <w:tc>
          <w:tcPr>
            <w:tcW w:type="dxa" w:w="1728"/>
          </w:tcPr>
          <w:p>
            <w:r>
              <w:rPr>
                <w:sz w:val="18"/>
              </w:rPr>
              <w:t>CLV/CAC, Expansion</w:t>
            </w:r>
          </w:p>
        </w:tc>
      </w:tr>
      <w:tr>
        <w:tc>
          <w:tcPr>
            <w:tcW w:type="dxa" w:w="1728"/>
          </w:tcPr>
          <w:p>
            <w:r>
              <w:rPr>
                <w:sz w:val="18"/>
              </w:rPr>
              <w:t>KeyBanc (KBCM) Survey</w:t>
            </w:r>
          </w:p>
        </w:tc>
        <w:tc>
          <w:tcPr>
            <w:tcW w:type="dxa" w:w="1728"/>
          </w:tcPr>
          <w:p>
            <w:r>
              <w:rPr>
                <w:sz w:val="18"/>
              </w:rPr>
              <w:t>CAC, retention, S&amp;M ratios, margins</w:t>
            </w:r>
          </w:p>
        </w:tc>
        <w:tc>
          <w:tcPr>
            <w:tcW w:type="dxa" w:w="1728"/>
          </w:tcPr>
          <w:p>
            <w:r>
              <w:rPr>
                <w:sz w:val="18"/>
              </w:rPr>
              <w:t>https://www.key.com/.../saas-resources.html</w:t>
            </w:r>
          </w:p>
        </w:tc>
        <w:tc>
          <w:tcPr>
            <w:tcW w:type="dxa" w:w="1728"/>
          </w:tcPr>
          <w:p>
            <w:r>
              <w:rPr>
                <w:sz w:val="18"/>
              </w:rPr>
              <w:t>Free public database</w:t>
            </w:r>
          </w:p>
        </w:tc>
        <w:tc>
          <w:tcPr>
            <w:tcW w:type="dxa" w:w="1728"/>
          </w:tcPr>
          <w:p>
            <w:r>
              <w:rPr>
                <w:sz w:val="18"/>
              </w:rPr>
              <w:t>CLV/CAC</w:t>
            </w:r>
          </w:p>
        </w:tc>
      </w:tr>
      <w:tr>
        <w:tc>
          <w:tcPr>
            <w:tcW w:type="dxa" w:w="1728"/>
          </w:tcPr>
          <w:p>
            <w:r>
              <w:rPr>
                <w:sz w:val="18"/>
              </w:rPr>
              <w:t>Benchmarkit 2025</w:t>
            </w:r>
          </w:p>
        </w:tc>
        <w:tc>
          <w:tcPr>
            <w:tcW w:type="dxa" w:w="1728"/>
          </w:tcPr>
          <w:p>
            <w:r>
              <w:rPr>
                <w:sz w:val="18"/>
              </w:rPr>
              <w:t>CLTV:CAC ratio, growth, NRR</w:t>
            </w:r>
          </w:p>
        </w:tc>
        <w:tc>
          <w:tcPr>
            <w:tcW w:type="dxa" w:w="1728"/>
          </w:tcPr>
          <w:p>
            <w:r>
              <w:rPr>
                <w:sz w:val="18"/>
              </w:rPr>
              <w:t>https://www.benchmarkit.ai/2025benchmarks</w:t>
            </w:r>
          </w:p>
        </w:tc>
        <w:tc>
          <w:tcPr>
            <w:tcW w:type="dxa" w:w="1728"/>
          </w:tcPr>
          <w:p>
            <w:r>
              <w:rPr>
                <w:sz w:val="18"/>
              </w:rPr>
              <w:t>Free access</w:t>
            </w:r>
          </w:p>
        </w:tc>
        <w:tc>
          <w:tcPr>
            <w:tcW w:type="dxa" w:w="1728"/>
          </w:tcPr>
          <w:p>
            <w:r>
              <w:rPr>
                <w:sz w:val="18"/>
              </w:rPr>
              <w:t>CLV/CAC</w:t>
            </w:r>
          </w:p>
        </w:tc>
      </w:tr>
      <w:tr>
        <w:tc>
          <w:tcPr>
            <w:tcW w:type="dxa" w:w="1728"/>
          </w:tcPr>
          <w:p>
            <w:r>
              <w:rPr>
                <w:sz w:val="18"/>
              </w:rPr>
              <w:t>Churnkey Blog</w:t>
            </w:r>
          </w:p>
        </w:tc>
        <w:tc>
          <w:tcPr>
            <w:tcW w:type="dxa" w:w="1728"/>
          </w:tcPr>
          <w:p>
            <w:r>
              <w:rPr>
                <w:sz w:val="18"/>
              </w:rPr>
              <w:t>Platform-specific streaming churn</w:t>
            </w:r>
          </w:p>
        </w:tc>
        <w:tc>
          <w:tcPr>
            <w:tcW w:type="dxa" w:w="1728"/>
          </w:tcPr>
          <w:p>
            <w:r>
              <w:rPr>
                <w:sz w:val="18"/>
              </w:rPr>
              <w:t>https://churnkey.co/blog/churn-rates-for-streaming-services/</w:t>
            </w:r>
          </w:p>
        </w:tc>
        <w:tc>
          <w:tcPr>
            <w:tcW w:type="dxa" w:w="1728"/>
          </w:tcPr>
          <w:p>
            <w:r>
              <w:rPr>
                <w:sz w:val="18"/>
              </w:rPr>
              <w:t>Free, no registration</w:t>
            </w:r>
          </w:p>
        </w:tc>
        <w:tc>
          <w:tcPr>
            <w:tcW w:type="dxa" w:w="1728"/>
          </w:tcPr>
          <w:p>
            <w:r>
              <w:rPr>
                <w:sz w:val="18"/>
              </w:rPr>
              <w:t>Domain transfer</w:t>
            </w:r>
          </w:p>
        </w:tc>
      </w:tr>
      <w:tr>
        <w:tc>
          <w:tcPr>
            <w:tcW w:type="dxa" w:w="1728"/>
          </w:tcPr>
          <w:p>
            <w:r>
              <w:rPr>
                <w:sz w:val="18"/>
              </w:rPr>
              <w:t>Vitally Benchmarks</w:t>
            </w:r>
          </w:p>
        </w:tc>
        <w:tc>
          <w:tcPr>
            <w:tcW w:type="dxa" w:w="1728"/>
          </w:tcPr>
          <w:p>
            <w:r>
              <w:rPr>
                <w:sz w:val="18"/>
              </w:rPr>
              <w:t>SaaS churn by segment/ARPU</w:t>
            </w:r>
          </w:p>
        </w:tc>
        <w:tc>
          <w:tcPr>
            <w:tcW w:type="dxa" w:w="1728"/>
          </w:tcPr>
          <w:p>
            <w:r>
              <w:rPr>
                <w:sz w:val="18"/>
              </w:rPr>
              <w:t>https://www.vitally.io/post/saas-churn-benchmarks</w:t>
            </w:r>
          </w:p>
        </w:tc>
        <w:tc>
          <w:tcPr>
            <w:tcW w:type="dxa" w:w="1728"/>
          </w:tcPr>
          <w:p>
            <w:r>
              <w:rPr>
                <w:sz w:val="18"/>
              </w:rPr>
              <w:t>Free, no registration</w:t>
            </w:r>
          </w:p>
        </w:tc>
        <w:tc>
          <w:tcPr>
            <w:tcW w:type="dxa" w:w="1728"/>
          </w:tcPr>
          <w:p>
            <w:r>
              <w:rPr>
                <w:sz w:val="18"/>
              </w:rPr>
              <w:t>Retention calibration</w:t>
            </w:r>
          </w:p>
        </w:tc>
      </w:tr>
      <w:tr>
        <w:tc>
          <w:tcPr>
            <w:tcW w:type="dxa" w:w="1728"/>
          </w:tcPr>
          <w:p>
            <w:r>
              <w:rPr>
                <w:sz w:val="18"/>
              </w:rPr>
              <w:t>Vena Solutions</w:t>
            </w:r>
          </w:p>
        </w:tc>
        <w:tc>
          <w:tcPr>
            <w:tcW w:type="dxa" w:w="1728"/>
          </w:tcPr>
          <w:p>
            <w:r>
              <w:rPr>
                <w:sz w:val="18"/>
              </w:rPr>
              <w:t>SaaS churn rate analysis</w:t>
            </w:r>
          </w:p>
        </w:tc>
        <w:tc>
          <w:tcPr>
            <w:tcW w:type="dxa" w:w="1728"/>
          </w:tcPr>
          <w:p>
            <w:r>
              <w:rPr>
                <w:sz w:val="18"/>
              </w:rPr>
              <w:t>https://www.venasolutions.com/blog/saas-churn-rate</w:t>
            </w:r>
          </w:p>
        </w:tc>
        <w:tc>
          <w:tcPr>
            <w:tcW w:type="dxa" w:w="1728"/>
          </w:tcPr>
          <w:p>
            <w:r>
              <w:rPr>
                <w:sz w:val="18"/>
              </w:rPr>
              <w:t>Free, no registration</w:t>
            </w:r>
          </w:p>
        </w:tc>
        <w:tc>
          <w:tcPr>
            <w:tcW w:type="dxa" w:w="1728"/>
          </w:tcPr>
          <w:p>
            <w:r>
              <w:rPr>
                <w:sz w:val="18"/>
              </w:rPr>
              <w:t>Retention calibration</w:t>
            </w:r>
          </w:p>
        </w:tc>
      </w:tr>
      <w:tr>
        <w:tc>
          <w:tcPr>
            <w:tcW w:type="dxa" w:w="1728"/>
          </w:tcPr>
          <w:p>
            <w:r>
              <w:rPr>
                <w:sz w:val="18"/>
              </w:rPr>
              <w:t>Public Co. NRR (SEC)</w:t>
            </w:r>
          </w:p>
        </w:tc>
        <w:tc>
          <w:tcPr>
            <w:tcW w:type="dxa" w:w="1728"/>
          </w:tcPr>
          <w:p>
            <w:r>
              <w:rPr>
                <w:sz w:val="18"/>
              </w:rPr>
              <w:t>NRR/NDR from 10-K filings</w:t>
            </w:r>
          </w:p>
        </w:tc>
        <w:tc>
          <w:tcPr>
            <w:tcW w:type="dxa" w:w="1728"/>
          </w:tcPr>
          <w:p>
            <w:r>
              <w:rPr>
                <w:sz w:val="18"/>
              </w:rPr>
              <w:t>SEC EDGAR (sec.gov)</w:t>
            </w:r>
          </w:p>
        </w:tc>
        <w:tc>
          <w:tcPr>
            <w:tcW w:type="dxa" w:w="1728"/>
          </w:tcPr>
          <w:p>
            <w:r>
              <w:rPr>
                <w:sz w:val="18"/>
              </w:rPr>
              <w:t>Free, no registration</w:t>
            </w:r>
          </w:p>
        </w:tc>
        <w:tc>
          <w:tcPr>
            <w:tcW w:type="dxa" w:w="1728"/>
          </w:tcPr>
          <w:p>
            <w:r>
              <w:rPr>
                <w:sz w:val="18"/>
              </w:rPr>
              <w:t>Expansion rates</w:t>
            </w:r>
          </w:p>
        </w:tc>
      </w:tr>
      <w:tr>
        <w:tc>
          <w:tcPr>
            <w:tcW w:type="dxa" w:w="1728"/>
          </w:tcPr>
          <w:p>
            <w:r>
              <w:rPr>
                <w:sz w:val="18"/>
              </w:rPr>
              <w:t>ProfitWell (Paddle)</w:t>
            </w:r>
          </w:p>
        </w:tc>
        <w:tc>
          <w:tcPr>
            <w:tcW w:type="dxa" w:w="1728"/>
          </w:tcPr>
          <w:p>
            <w:r>
              <w:rPr>
                <w:sz w:val="18"/>
              </w:rPr>
              <w:t>Retention, reactivation, LTV benchmarks</w:t>
            </w:r>
          </w:p>
        </w:tc>
        <w:tc>
          <w:tcPr>
            <w:tcW w:type="dxa" w:w="1728"/>
          </w:tcPr>
          <w:p>
            <w:r>
              <w:rPr>
                <w:sz w:val="18"/>
              </w:rPr>
              <w:t>https://www.paddle.com/profitwell-metrics</w:t>
            </w:r>
          </w:p>
        </w:tc>
        <w:tc>
          <w:tcPr>
            <w:tcW w:type="dxa" w:w="1728"/>
          </w:tcPr>
          <w:p>
            <w:r>
              <w:rPr>
                <w:sz w:val="18"/>
              </w:rPr>
              <w:t>Free tool + reports</w:t>
            </w:r>
          </w:p>
        </w:tc>
        <w:tc>
          <w:tcPr>
            <w:tcW w:type="dxa" w:w="1728"/>
          </w:tcPr>
          <w:p>
            <w:r>
              <w:rPr>
                <w:sz w:val="18"/>
              </w:rPr>
              <w:t>Reactivation, CLV</w:t>
            </w:r>
          </w:p>
        </w:tc>
      </w:tr>
    </w:tbl>
    <w:p>
      <w:r>
        <w:br w:type="page"/>
      </w:r>
    </w:p>
    <w:p>
      <w:pPr>
        <w:pStyle w:val="Heading1"/>
      </w:pPr>
      <w:r>
        <w:t>5. Prioritized Implementation Roadmap</w:t>
      </w:r>
    </w:p>
    <w:p>
      <w:r>
        <w:t>The following prioritization is based on impact on confidence score, effort required, and data accessibility.</w:t>
      </w:r>
    </w:p>
    <w:p>
      <w:pPr>
        <w:pStyle w:val="Heading2"/>
      </w:pPr>
      <w:r>
        <w:t>Priority 1 (Week 1) — Highest Impact, Lowest Effort</w:t>
      </w:r>
    </w:p>
    <w:p>
      <w:r>
        <w:rPr>
          <w:b/>
        </w:rPr>
        <w:t>A. Calibrate reactivation rates to Antenna resubscription curve</w:t>
      </w:r>
    </w:p>
    <w:p>
      <w:r>
        <w:t>Effort: Low (replace flat rate with time-decay function)</w:t>
      </w:r>
    </w:p>
    <w:p>
      <w:r>
        <w:t>Impact: Converts reactivation from "fabricated" to "benchmark-calibrated"</w:t>
      </w:r>
    </w:p>
    <w:p>
      <w:r>
        <w:t>Confidence score impact: +5 to +8 points</w:t>
      </w:r>
    </w:p>
    <w:p>
      <w:r>
        <w:t>Data: Antenna published resubscription curve (10% → 23% → 37% → 41% cumulative)</w:t>
      </w:r>
    </w:p>
    <w:p>
      <w:r>
        <w:t>Implementation: Create a month-since-churn lookup table; apply as a multiplier to the churned cohort pool.</w:t>
      </w:r>
    </w:p>
    <w:p/>
    <w:p>
      <w:r>
        <w:rPr>
          <w:b/>
        </w:rPr>
        <w:t>B. Anchor expansion rates to NRR decomposition benchmarks</w:t>
      </w:r>
    </w:p>
    <w:p>
      <w:r>
        <w:t>Effort: Low (parametrize expansion as NRR-implied rate)</w:t>
      </w:r>
    </w:p>
    <w:p>
      <w:r>
        <w:t>Impact: Converts expansion from "fabricated" to "benchmark-bounded"</w:t>
      </w:r>
    </w:p>
    <w:p>
      <w:r>
        <w:t>Confidence score impact: +3 to +5 points</w:t>
      </w:r>
    </w:p>
    <w:p>
      <w:r>
        <w:t>Data: OpenView (expansion = 40% of new ARR), public NRR disclosures</w:t>
      </w:r>
    </w:p>
    <w:p>
      <w:r>
        <w:t>Implementation: Define expansion scenario ranges as low (NRR 100%), base (NRR 106%), high (NRR 115%) using industry medians.</w:t>
      </w:r>
    </w:p>
    <w:p>
      <w:pPr>
        <w:pStyle w:val="Heading2"/>
      </w:pPr>
      <w:r>
        <w:t>Priority 2 (Week 2) — High Impact, Moderate Effort</w:t>
      </w:r>
    </w:p>
    <w:p>
      <w:r>
        <w:rPr>
          <w:b/>
        </w:rPr>
        <w:t>C. Build domain transfer calibration table</w:t>
      </w:r>
    </w:p>
    <w:p>
      <w:r>
        <w:t>Effort: Moderate (requires mapping Kaggle churn rates to real-world benchmarks)</w:t>
      </w:r>
    </w:p>
    <w:p>
      <w:r>
        <w:t>Impact: Could recover the 5-point "domain transfer validated" criterion</w:t>
      </w:r>
    </w:p>
    <w:p>
      <w:r>
        <w:t>Confidence score impact: +5 points</w:t>
      </w:r>
    </w:p>
    <w:p>
      <w:r>
        <w:t>Data: Antenna gross/net churn by platform, public filings, Churnkey blog</w:t>
      </w:r>
    </w:p>
    <w:p>
      <w:r>
        <w:t>Implementation: Create a scaling function that maps Kaggle retention model outputs to industry-realistic churn ranges (2–7% for streaming, 3.5% for B2B SaaS).</w:t>
      </w:r>
    </w:p>
    <w:p/>
    <w:p>
      <w:r>
        <w:rPr>
          <w:b/>
        </w:rPr>
        <w:t>D. Add CLV/CAC benchmark bounds</w:t>
      </w:r>
    </w:p>
    <w:p>
      <w:r>
        <w:t>Effort: Moderate (add benchmark comparison layer to unit economics output)</w:t>
      </w:r>
    </w:p>
    <w:p>
      <w:r>
        <w:t>Impact: Contextualizes the CLV&lt;CAC anomaly alert</w:t>
      </w:r>
    </w:p>
    <w:p>
      <w:r>
        <w:t>Confidence score impact: +2 to +3 points (indirect, through anomaly resolution)</w:t>
      </w:r>
    </w:p>
    <w:p>
      <w:r>
        <w:t>Data: KBCM survey, Benchmarkit CLTV:CAC of 3.6, OpenView CAC ratios</w:t>
      </w:r>
    </w:p>
    <w:p>
      <w:r>
        <w:t>Implementation: Add a "benchmark comparison" column to the economic output layer showing where each metric falls relative to industry medians.</w:t>
      </w:r>
    </w:p>
    <w:p>
      <w:pPr>
        <w:pStyle w:val="Heading2"/>
      </w:pPr>
      <w:r>
        <w:t>Priority 3 (Week 3–4) — Moderate Impact, Higher Effort</w:t>
      </w:r>
    </w:p>
    <w:p>
      <w:r>
        <w:rPr>
          <w:b/>
        </w:rPr>
        <w:t>E. Apply billing failure discount to rate-card MRR</w:t>
      </w:r>
    </w:p>
    <w:p>
      <w:r>
        <w:t>Effort: Low–moderate (add a discount factor)</w:t>
      </w:r>
    </w:p>
    <w:p>
      <w:r>
        <w:t>Impact: Makes MRR proxy more realistic</w:t>
      </w:r>
    </w:p>
    <w:p>
      <w:r>
        <w:t>Data: Recurly (15% decline risk, ~70% recovery = ~4.5% net leakage)</w:t>
      </w:r>
    </w:p>
    <w:p>
      <w:r>
        <w:t>Implementation: Multiply rate-card MRR by (1 - 0.045) to get "effective MRR" and present both figures.</w:t>
      </w:r>
    </w:p>
    <w:p/>
    <w:p>
      <w:r>
        <w:rPr>
          <w:b/>
        </w:rPr>
        <w:t>F. Segment churn model by ARPU/contract band using external benchmarks</w:t>
      </w:r>
    </w:p>
    <w:p>
      <w:r>
        <w:t>Effort: Moderate–high (requires retention model refactoring)</w:t>
      </w:r>
    </w:p>
    <w:p>
      <w:r>
        <w:t>Impact: Could resolve the calibration gate failure</w:t>
      </w:r>
    </w:p>
    <w:p>
      <w:r>
        <w:t>Confidence score impact: +10 to +20 points (if calibration gate passes)</w:t>
      </w:r>
    </w:p>
    <w:p>
      <w:r>
        <w:t>Data: Vitally, Vena, Recurly churn-by-ARPU data</w:t>
      </w:r>
    </w:p>
    <w:p>
      <w:r>
        <w:t>Implementation: Use external benchmarks as calibration targets for each contract type's hazard curve.</w:t>
      </w:r>
    </w:p>
    <w:p>
      <w:pPr>
        <w:pStyle w:val="Heading2"/>
      </w:pPr>
      <w:r>
        <w:t>Expected Cumulative Confidence Score Impact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Actions</w:t>
            </w:r>
          </w:p>
        </w:tc>
        <w:tc>
          <w:tcPr>
            <w:tcW w:type="dxa" w:w="2880"/>
          </w:tcPr>
          <w:p>
            <w:r>
              <w:rPr>
                <w:b/>
              </w:rPr>
              <w:t>Projected Score</w:t>
            </w:r>
          </w:p>
        </w:tc>
      </w:tr>
      <w:tr>
        <w:tc>
          <w:tcPr>
            <w:tcW w:type="dxa" w:w="2880"/>
          </w:tcPr>
          <w:p>
            <w:r>
              <w:t>Current</w:t>
            </w:r>
          </w:p>
        </w:tc>
        <w:tc>
          <w:tcPr>
            <w:tcW w:type="dxa" w:w="2880"/>
          </w:tcPr>
          <w:p>
            <w:r>
              <w:t>No changes</w:t>
            </w:r>
          </w:p>
        </w:tc>
        <w:tc>
          <w:tcPr>
            <w:tcW w:type="dxa" w:w="2880"/>
          </w:tcPr>
          <w:p>
            <w:r>
              <w:t>65 / 100</w:t>
            </w:r>
          </w:p>
        </w:tc>
      </w:tr>
      <w:tr>
        <w:tc>
          <w:tcPr>
            <w:tcW w:type="dxa" w:w="2880"/>
          </w:tcPr>
          <w:p>
            <w:r>
              <w:t>After Priority 1</w:t>
            </w:r>
          </w:p>
        </w:tc>
        <w:tc>
          <w:tcPr>
            <w:tcW w:type="dxa" w:w="2880"/>
          </w:tcPr>
          <w:p>
            <w:r>
              <w:t>Reactivation + Expansion calibration</w:t>
            </w:r>
          </w:p>
        </w:tc>
        <w:tc>
          <w:tcPr>
            <w:tcW w:type="dxa" w:w="2880"/>
          </w:tcPr>
          <w:p>
            <w:r>
              <w:t>73–78 / 100</w:t>
            </w:r>
          </w:p>
        </w:tc>
      </w:tr>
      <w:tr>
        <w:tc>
          <w:tcPr>
            <w:tcW w:type="dxa" w:w="2880"/>
          </w:tcPr>
          <w:p>
            <w:r>
              <w:t>After Priority 1+2+3</w:t>
            </w:r>
          </w:p>
        </w:tc>
        <w:tc>
          <w:tcPr>
            <w:tcW w:type="dxa" w:w="2880"/>
          </w:tcPr>
          <w:p>
            <w:r>
              <w:t>All recommendations implemented</w:t>
            </w:r>
          </w:p>
        </w:tc>
        <w:tc>
          <w:tcPr>
            <w:tcW w:type="dxa" w:w="2880"/>
          </w:tcPr>
          <w:p>
            <w:r>
              <w:t>85–95 / 100</w:t>
            </w:r>
          </w:p>
        </w:tc>
      </w:tr>
    </w:tbl>
    <w:p>
      <w:r>
        <w:br w:type="page"/>
      </w:r>
    </w:p>
    <w:p>
      <w:pPr>
        <w:pStyle w:val="Heading1"/>
      </w:pPr>
      <w:r>
        <w:t>6. Additional Considerations &amp; Caveats</w:t>
      </w:r>
    </w:p>
    <w:p>
      <w:pPr>
        <w:pStyle w:val="Heading2"/>
      </w:pPr>
      <w:r>
        <w:t>6.1 Benchmark Data Is Not Your Data</w:t>
      </w:r>
    </w:p>
    <w:p>
      <w:r>
        <w:t>All recommended sources provide industry benchmarks, not actual billing data from the specific business being modeled. Using benchmarks to calibrate scenario assumptions is methodologically sound and widely accepted in financial modeling, but the model documentation should always state: "Expansion/reactivation/churn assumptions are calibrated to published industry benchmarks [cite source], not to observed operational data from this specific business." This maintains the transparency that makes the model defensible in the first place.</w:t>
      </w:r>
    </w:p>
    <w:p>
      <w:pPr>
        <w:pStyle w:val="Heading2"/>
      </w:pPr>
      <w:r>
        <w:t>6.2 Benchmark Staleness Risk</w:t>
      </w:r>
    </w:p>
    <w:p>
      <w:r>
        <w:t>Industry benchmarks are typically published annually (OpenView, KeyBanc, ChartMogul) or quarterly (Antenna, public filings). The model should document the publication date of each benchmark used and flag when benchmarks are &gt;12 months old. Streaming churn benchmarks in particular are evolving rapidly (2% in 2019 → 5.5% in 2025).</w:t>
      </w:r>
    </w:p>
    <w:p>
      <w:pPr>
        <w:pStyle w:val="Heading2"/>
      </w:pPr>
      <w:r>
        <w:t>6.3 SaaS vs. Streaming Divergence</w:t>
      </w:r>
    </w:p>
    <w:p>
      <w:r>
        <w:t>The LinkedIn article and model combine SaaS and streaming into one driver tree. However, the benchmark data reveals fundamental differences: SaaS B2B churn is ~3.5% monthly while streaming is ~5.5% monthly; SaaS expansion is driven by seat growth and usage while streaming expansion is driven by tier upgrades; reactivation in streaming (41% within 1 year per Antenna) is much higher than SaaS (10% of ARR gained per ChartMogul). The model should present separate benchmark calibration targets for each domain rather than blending them.</w:t>
      </w:r>
    </w:p>
    <w:p>
      <w:pPr>
        <w:pStyle w:val="Heading2"/>
      </w:pPr>
      <w:r>
        <w:t>6.4 Survivorship Bias in Public Company Data</w:t>
      </w:r>
    </w:p>
    <w:p>
      <w:r>
        <w:t>SEC filing data comes from successful public companies. Netflix's 2% churn and Snowflake's 158% NRR are aspirational benchmarks, not median outcomes. When using public company data, the model should cite median/average industry figures (from OpenView, KeyBanc, or ChartMogul) alongside best-in-class examples to avoid overly optimistic calibration.</w:t>
      </w:r>
    </w:p>
    <w:p>
      <w:pPr>
        <w:pStyle w:val="Heading2"/>
      </w:pPr>
      <w:r>
        <w:t>6.5 Free Data Limitations</w:t>
      </w:r>
    </w:p>
    <w:p>
      <w:r>
        <w:t>Some sources (Antenna, ProfitWell) publish aggregated insights for free but reserve granular, platform-specific, or time-series data for paid clients. The free published data is sufficient for benchmark calibration but not for building supervised ML models on external data. The model should note which calibration points come from aggregated free reports vs. detailed paid datasets.</w:t>
      </w:r>
    </w:p>
    <w:p>
      <w:pPr>
        <w:pStyle w:val="Heading2"/>
      </w:pPr>
      <w:r>
        <w:t>6.6 Defending the Article's Core Thesis</w:t>
      </w:r>
    </w:p>
    <w:p>
      <w:r>
        <w:t>The LinkedIn article's central argument — that revenue forecasting should be a connected driver system, not isolated metric forecasts — is strongly supported by the benchmark data. Every major benchmark source (OpenView, KeyBanc, ChartMogul, Antenna) reports interconnected metrics: NRR is a function of churn + expansion; CLV depends on retention + expansion + ARPU; CAC payback depends on CLV and gross margin. This validates the architectural choice. The data sources recommended here strengthen the inputs to this architecture rather than questioning the architecture itself.</w:t>
      </w:r>
    </w:p>
    <w:p>
      <w:r>
        <w:br w:type="page"/>
      </w:r>
    </w:p>
    <w:p>
      <w:pPr>
        <w:pStyle w:val="Heading1"/>
      </w:pPr>
      <w:r>
        <w:t>7. Appendix: Source Access Quick-Reference</w:t>
      </w:r>
    </w:p>
    <w:p>
      <w:r>
        <w:t>All sources listed below are free and publicly accessible as of March 2026. No API keys, subscriptions, or enterprise accounts are required.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18"/>
              </w:rPr>
              <w:t>Source</w:t>
            </w:r>
          </w:p>
        </w:tc>
        <w:tc>
          <w:tcPr>
            <w:tcW w:type="dxa" w:w="2880"/>
          </w:tcPr>
          <w:p>
            <w:r>
              <w:rPr>
                <w:b/>
                <w:sz w:val="18"/>
              </w:rPr>
              <w:t>URL</w:t>
            </w:r>
          </w:p>
        </w:tc>
        <w:tc>
          <w:tcPr>
            <w:tcW w:type="dxa" w:w="2880"/>
          </w:tcPr>
          <w:p>
            <w:r>
              <w:rPr>
                <w:b/>
                <w:sz w:val="18"/>
              </w:rPr>
              <w:t>Access Notes</w:t>
            </w:r>
          </w:p>
        </w:tc>
      </w:tr>
      <w:tr>
        <w:tc>
          <w:tcPr>
            <w:tcW w:type="dxa" w:w="2880"/>
          </w:tcPr>
          <w:p>
            <w:r>
              <w:rPr>
                <w:sz w:val="18"/>
              </w:rPr>
              <w:t>SEC EDGAR (All Public Filings)</w:t>
            </w:r>
          </w:p>
        </w:tc>
        <w:tc>
          <w:tcPr>
            <w:tcW w:type="dxa" w:w="2880"/>
          </w:tcPr>
          <w:p>
            <w:r>
              <w:rPr>
                <w:sz w:val="18"/>
              </w:rPr>
              <w:t>https://www.sec.gov/cgi-bin/browse-edgar?action=getcompany</w:t>
            </w:r>
          </w:p>
        </w:tc>
        <w:tc>
          <w:tcPr>
            <w:tcW w:type="dxa" w:w="2880"/>
          </w:tcPr>
          <w:p>
            <w:r>
              <w:rPr>
                <w:sz w:val="18"/>
              </w:rPr>
              <w:t>Search by ticker (NFLX, DIS, WBD). Download 10-K/10-Q as HTML or XBRL.</w:t>
            </w:r>
          </w:p>
        </w:tc>
      </w:tr>
      <w:tr>
        <w:tc>
          <w:tcPr>
            <w:tcW w:type="dxa" w:w="2880"/>
          </w:tcPr>
          <w:p>
            <w:r>
              <w:rPr>
                <w:sz w:val="18"/>
              </w:rPr>
              <w:t>Netflix Investor Relations</w:t>
            </w:r>
          </w:p>
        </w:tc>
        <w:tc>
          <w:tcPr>
            <w:tcW w:type="dxa" w:w="2880"/>
          </w:tcPr>
          <w:p>
            <w:r>
              <w:rPr>
                <w:sz w:val="18"/>
              </w:rPr>
              <w:t>https://ir.netflix.net/financials/sec-filings/default.aspx</w:t>
            </w:r>
          </w:p>
        </w:tc>
        <w:tc>
          <w:tcPr>
            <w:tcW w:type="dxa" w:w="2880"/>
          </w:tcPr>
          <w:p>
            <w:r>
              <w:rPr>
                <w:sz w:val="18"/>
              </w:rPr>
              <w:t>Earnings letters contain ARPU/ARM and subscriber data in easily parseable format.</w:t>
            </w:r>
          </w:p>
        </w:tc>
      </w:tr>
      <w:tr>
        <w:tc>
          <w:tcPr>
            <w:tcW w:type="dxa" w:w="2880"/>
          </w:tcPr>
          <w:p>
            <w:r>
              <w:rPr>
                <w:sz w:val="18"/>
              </w:rPr>
              <w:t>Disney Investor Relations</w:t>
            </w:r>
          </w:p>
        </w:tc>
        <w:tc>
          <w:tcPr>
            <w:tcW w:type="dxa" w:w="2880"/>
          </w:tcPr>
          <w:p>
            <w:r>
              <w:rPr>
                <w:sz w:val="18"/>
              </w:rPr>
              <w:t>https://thewaltdisneycompany.com/investor-relations/</w:t>
            </w:r>
          </w:p>
        </w:tc>
        <w:tc>
          <w:tcPr>
            <w:tcW w:type="dxa" w:w="2880"/>
          </w:tcPr>
          <w:p>
            <w:r>
              <w:rPr>
                <w:sz w:val="18"/>
              </w:rPr>
              <w:t>Quarterly earnings contain DTC subscriber counts and ARPU by segment.</w:t>
            </w:r>
          </w:p>
        </w:tc>
      </w:tr>
      <w:tr>
        <w:tc>
          <w:tcPr>
            <w:tcW w:type="dxa" w:w="2880"/>
          </w:tcPr>
          <w:p>
            <w:r>
              <w:rPr>
                <w:sz w:val="18"/>
              </w:rPr>
              <w:t>Antenna Insights</w:t>
            </w:r>
          </w:p>
        </w:tc>
        <w:tc>
          <w:tcPr>
            <w:tcW w:type="dxa" w:w="2880"/>
          </w:tcPr>
          <w:p>
            <w:r>
              <w:rPr>
                <w:sz w:val="18"/>
              </w:rPr>
              <w:t>https://www.antenna.live/insights</w:t>
            </w:r>
          </w:p>
        </w:tc>
        <w:tc>
          <w:tcPr>
            <w:tcW w:type="dxa" w:w="2880"/>
          </w:tcPr>
          <w:p>
            <w:r>
              <w:rPr>
                <w:sz w:val="18"/>
              </w:rPr>
              <w:t>Published blog posts with charts and data points. No login required.</w:t>
            </w:r>
          </w:p>
        </w:tc>
      </w:tr>
      <w:tr>
        <w:tc>
          <w:tcPr>
            <w:tcW w:type="dxa" w:w="2880"/>
          </w:tcPr>
          <w:p>
            <w:r>
              <w:rPr>
                <w:sz w:val="18"/>
              </w:rPr>
              <w:t>Recurly Research</w:t>
            </w:r>
          </w:p>
        </w:tc>
        <w:tc>
          <w:tcPr>
            <w:tcW w:type="dxa" w:w="2880"/>
          </w:tcPr>
          <w:p>
            <w:r>
              <w:rPr>
                <w:sz w:val="18"/>
              </w:rPr>
              <w:t>https://recurly.com/research/churn-rate-benchmarks/</w:t>
            </w:r>
          </w:p>
        </w:tc>
        <w:tc>
          <w:tcPr>
            <w:tcW w:type="dxa" w:w="2880"/>
          </w:tcPr>
          <w:p>
            <w:r>
              <w:rPr>
                <w:sz w:val="18"/>
              </w:rPr>
              <w:t>Interactive benchmarks page. Supplementary reports at /resources/report/.</w:t>
            </w:r>
          </w:p>
        </w:tc>
      </w:tr>
      <w:tr>
        <w:tc>
          <w:tcPr>
            <w:tcW w:type="dxa" w:w="2880"/>
          </w:tcPr>
          <w:p>
            <w:r>
              <w:rPr>
                <w:sz w:val="18"/>
              </w:rPr>
              <w:t>ChartMogul SaaS Benchmarks</w:t>
            </w:r>
          </w:p>
        </w:tc>
        <w:tc>
          <w:tcPr>
            <w:tcW w:type="dxa" w:w="2880"/>
          </w:tcPr>
          <w:p>
            <w:r>
              <w:rPr>
                <w:sz w:val="18"/>
              </w:rPr>
              <w:t>https://chartmogul.com/reports/saas-benchmarks-report/</w:t>
            </w:r>
          </w:p>
        </w:tc>
        <w:tc>
          <w:tcPr>
            <w:tcW w:type="dxa" w:w="2880"/>
          </w:tcPr>
          <w:p>
            <w:r>
              <w:rPr>
                <w:sz w:val="18"/>
              </w:rPr>
              <w:t>Free PDF download. Also see /reports/saas-retention-report/.</w:t>
            </w:r>
          </w:p>
        </w:tc>
      </w:tr>
      <w:tr>
        <w:tc>
          <w:tcPr>
            <w:tcW w:type="dxa" w:w="2880"/>
          </w:tcPr>
          <w:p>
            <w:r>
              <w:rPr>
                <w:sz w:val="18"/>
              </w:rPr>
              <w:t>OpenView/High Alpha 2024</w:t>
            </w:r>
          </w:p>
        </w:tc>
        <w:tc>
          <w:tcPr>
            <w:tcW w:type="dxa" w:w="2880"/>
          </w:tcPr>
          <w:p>
            <w:r>
              <w:rPr>
                <w:sz w:val="18"/>
              </w:rPr>
              <w:t>https://www.highalpha.com/saas-benchmarks/2024</w:t>
            </w:r>
          </w:p>
        </w:tc>
        <w:tc>
          <w:tcPr>
            <w:tcW w:type="dxa" w:w="2880"/>
          </w:tcPr>
          <w:p>
            <w:r>
              <w:rPr>
                <w:sz w:val="18"/>
              </w:rPr>
              <w:t>Free PDF download. Based on 800+ companies.</w:t>
            </w:r>
          </w:p>
        </w:tc>
      </w:tr>
      <w:tr>
        <w:tc>
          <w:tcPr>
            <w:tcW w:type="dxa" w:w="2880"/>
          </w:tcPr>
          <w:p>
            <w:r>
              <w:rPr>
                <w:sz w:val="18"/>
              </w:rPr>
              <w:t>KeyBanc SaaS Resources</w:t>
            </w:r>
          </w:p>
        </w:tc>
        <w:tc>
          <w:tcPr>
            <w:tcW w:type="dxa" w:w="2880"/>
          </w:tcPr>
          <w:p>
            <w:r>
              <w:rPr>
                <w:sz w:val="18"/>
              </w:rPr>
              <w:t>https://www.key.com/businesses-institutions/industry-expertise/saas-resources.html</w:t>
            </w:r>
          </w:p>
        </w:tc>
        <w:tc>
          <w:tcPr>
            <w:tcW w:type="dxa" w:w="2880"/>
          </w:tcPr>
          <w:p>
            <w:r>
              <w:rPr>
                <w:sz w:val="18"/>
              </w:rPr>
              <w:t>Public database of SaaS metrics from IPO filings. Request form for updated data.</w:t>
            </w:r>
          </w:p>
        </w:tc>
      </w:tr>
      <w:tr>
        <w:tc>
          <w:tcPr>
            <w:tcW w:type="dxa" w:w="2880"/>
          </w:tcPr>
          <w:p>
            <w:r>
              <w:rPr>
                <w:sz w:val="18"/>
              </w:rPr>
              <w:t>Benchmarkit 2025</w:t>
            </w:r>
          </w:p>
        </w:tc>
        <w:tc>
          <w:tcPr>
            <w:tcW w:type="dxa" w:w="2880"/>
          </w:tcPr>
          <w:p>
            <w:r>
              <w:rPr>
                <w:sz w:val="18"/>
              </w:rPr>
              <w:t>https://www.benchmarkit.ai/2025benchmarks</w:t>
            </w:r>
          </w:p>
        </w:tc>
        <w:tc>
          <w:tcPr>
            <w:tcW w:type="dxa" w:w="2880"/>
          </w:tcPr>
          <w:p>
            <w:r>
              <w:rPr>
                <w:sz w:val="18"/>
              </w:rPr>
              <w:t>Free access to benchmark explorer.</w:t>
            </w:r>
          </w:p>
        </w:tc>
      </w:tr>
      <w:tr>
        <w:tc>
          <w:tcPr>
            <w:tcW w:type="dxa" w:w="2880"/>
          </w:tcPr>
          <w:p>
            <w:r>
              <w:rPr>
                <w:sz w:val="18"/>
              </w:rPr>
              <w:t>Churnkey Blog</w:t>
            </w:r>
          </w:p>
        </w:tc>
        <w:tc>
          <w:tcPr>
            <w:tcW w:type="dxa" w:w="2880"/>
          </w:tcPr>
          <w:p>
            <w:r>
              <w:rPr>
                <w:sz w:val="18"/>
              </w:rPr>
              <w:t>https://churnkey.co/blog/churn-rates-for-streaming-services/</w:t>
            </w:r>
          </w:p>
        </w:tc>
        <w:tc>
          <w:tcPr>
            <w:tcW w:type="dxa" w:w="2880"/>
          </w:tcPr>
          <w:p>
            <w:r>
              <w:rPr>
                <w:sz w:val="18"/>
              </w:rPr>
              <w:t>Comprehensive free blog post with platform-specific churn data.</w:t>
            </w:r>
          </w:p>
        </w:tc>
      </w:tr>
      <w:tr>
        <w:tc>
          <w:tcPr>
            <w:tcW w:type="dxa" w:w="2880"/>
          </w:tcPr>
          <w:p>
            <w:r>
              <w:rPr>
                <w:sz w:val="18"/>
              </w:rPr>
              <w:t>Vitally SaaS Churn</w:t>
            </w:r>
          </w:p>
        </w:tc>
        <w:tc>
          <w:tcPr>
            <w:tcW w:type="dxa" w:w="2880"/>
          </w:tcPr>
          <w:p>
            <w:r>
              <w:rPr>
                <w:sz w:val="18"/>
              </w:rPr>
              <w:t>https://www.vitally.io/post/saas-churn-benchmarks</w:t>
            </w:r>
          </w:p>
        </w:tc>
        <w:tc>
          <w:tcPr>
            <w:tcW w:type="dxa" w:w="2880"/>
          </w:tcPr>
          <w:p>
            <w:r>
              <w:rPr>
                <w:sz w:val="18"/>
              </w:rPr>
              <w:t>Free blog with segmented churn benchmarks.</w:t>
            </w:r>
          </w:p>
        </w:tc>
      </w:tr>
      <w:tr>
        <w:tc>
          <w:tcPr>
            <w:tcW w:type="dxa" w:w="2880"/>
          </w:tcPr>
          <w:p>
            <w:r>
              <w:rPr>
                <w:sz w:val="18"/>
              </w:rPr>
              <w:t>Vena Solutions</w:t>
            </w:r>
          </w:p>
        </w:tc>
        <w:tc>
          <w:tcPr>
            <w:tcW w:type="dxa" w:w="2880"/>
          </w:tcPr>
          <w:p>
            <w:r>
              <w:rPr>
                <w:sz w:val="18"/>
              </w:rPr>
              <w:t>https://www.venasolutions.com/blog/saas-churn-rate</w:t>
            </w:r>
          </w:p>
        </w:tc>
        <w:tc>
          <w:tcPr>
            <w:tcW w:type="dxa" w:w="2880"/>
          </w:tcPr>
          <w:p>
            <w:r>
              <w:rPr>
                <w:sz w:val="18"/>
              </w:rPr>
              <w:t>Free analysis of B2B SaaS churn rates by segment.</w:t>
            </w:r>
          </w:p>
        </w:tc>
      </w:tr>
      <w:tr>
        <w:tc>
          <w:tcPr>
            <w:tcW w:type="dxa" w:w="2880"/>
          </w:tcPr>
          <w:p>
            <w:r>
              <w:rPr>
                <w:sz w:val="18"/>
              </w:rPr>
              <w:t>ProfitWell / Paddle</w:t>
            </w:r>
          </w:p>
        </w:tc>
        <w:tc>
          <w:tcPr>
            <w:tcW w:type="dxa" w:w="2880"/>
          </w:tcPr>
          <w:p>
            <w:r>
              <w:rPr>
                <w:sz w:val="18"/>
              </w:rPr>
              <w:t>https://www.paddle.com/profitwell-metrics</w:t>
            </w:r>
          </w:p>
        </w:tc>
        <w:tc>
          <w:tcPr>
            <w:tcW w:type="dxa" w:w="2880"/>
          </w:tcPr>
          <w:p>
            <w:r>
              <w:rPr>
                <w:sz w:val="18"/>
              </w:rPr>
              <w:t>Free analytics tool (requires connecting billing data). Free reports at /studios/shows/profitwell-report/.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