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SaaS Revenue Driver Model Final Report v4</w:t>
        <w:br/>
      </w:r>
      <w:r>
        <w:rPr>
          <w:sz w:val="24"/>
        </w:rPr>
        <w:t>Updated standalone SaaS report reflecting checklist-driven improvements</w:t>
      </w:r>
    </w:p>
    <w:p>
      <w:pPr>
        <w:jc w:val="center"/>
      </w:pPr>
      <w:r>
        <w:rPr>
          <w:sz w:val="22"/>
        </w:rPr>
        <w:t>Prepared: April 1, 2026</w:t>
        <w:br/>
      </w:r>
      <w:r>
        <w:rPr>
          <w:b/>
        </w:rPr>
        <w:t>Confidence score: 83.0/100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v4 SaaS model incorporates the checklist-driven fixes from the 59-check audit. The biggest improvements are operational realism and governance. New-logo customers are no longer recognized immediately; they pass through a two-month sales cycle and a one-month onboarding lag. New business is also constrained by both sales capacity and implementation throughput. Enterprise deal timing is lumpier, concentration shock is stress-tested, and pricing failures, deal slippage, recession, competition, saturation, and stress regimes are all modeled explicitly.</w:t>
      </w:r>
    </w:p>
    <w:p>
      <w:r>
        <w:t>The v4 checklist score is 83.0/100, placing the model in the “Generally sound” range. That score is still below a fully robust decision-grade model because this remains a benchmark-calibrated framework rather than a first-party CRM and billing model. The actual Monte Carlo CLV/CAC output remains honest rather than tuned: mean 1.44x, P05 1.24x, P95 1.66x.</w:t>
      </w:r>
    </w:p>
    <w:p>
      <w:pPr>
        <w:pStyle w:val="Heading1"/>
      </w:pPr>
      <w:r>
        <w:t>Model Purpose and Intended Use</w:t>
      </w:r>
    </w:p>
    <w:p>
      <w:r>
        <w:t>This model is for planning, scenario analysis, and benchmark-calibrated revenue interpretation. It is not a commitment forecast, quota model, or investor-guidance tool. It is most useful for understanding directionality, timing, risk concentration, and driver sensitivity across a SaaS recurring-revenue system.</w:t>
      </w:r>
    </w:p>
    <w:p>
      <w:pPr>
        <w:pStyle w:val="Heading1"/>
      </w:pPr>
      <w:r>
        <w:t>Explicit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Source_ID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starting_arr</w:t>
            </w:r>
          </w:p>
        </w:tc>
        <w:tc>
          <w:tcPr>
            <w:tcW w:type="dxa" w:w="1080"/>
          </w:tcPr>
          <w:p>
            <w:r>
              <w:t>2,000,000</w:t>
            </w:r>
          </w:p>
        </w:tc>
        <w:tc>
          <w:tcPr>
            <w:tcW w:type="dxa" w:w="1080"/>
          </w:tcPr>
          <w:p>
            <w:r>
              <w:t>USD annual</w:t>
            </w:r>
          </w:p>
        </w:tc>
        <w:tc>
          <w:tcPr>
            <w:tcW w:type="dxa" w:w="1080"/>
          </w:tcPr>
          <w:p>
            <w:r>
              <w:t>input</w:t>
            </w:r>
          </w:p>
        </w:tc>
        <w:tc>
          <w:tcPr>
            <w:tcW w:type="dxa" w:w="1080"/>
          </w:tcPr>
          <w:p>
            <w:r>
              <w:t>SRC04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Benchmark-normalized archetype midpoint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starting_arpa_monthly</w:t>
            </w:r>
          </w:p>
        </w:tc>
        <w:tc>
          <w:tcPr>
            <w:tcW w:type="dxa" w:w="1080"/>
          </w:tcPr>
          <w:p>
            <w:r>
              <w:t>1,000</w:t>
            </w:r>
          </w:p>
        </w:tc>
        <w:tc>
          <w:tcPr>
            <w:tcW w:type="dxa" w:w="1080"/>
          </w:tcPr>
          <w:p>
            <w:r>
              <w:t>USD monthly</w:t>
            </w:r>
          </w:p>
        </w:tc>
        <w:tc>
          <w:tcPr>
            <w:tcW w:type="dxa" w:w="1080"/>
          </w:tcPr>
          <w:p>
            <w:r>
              <w:t>input</w:t>
            </w:r>
          </w:p>
        </w:tc>
        <w:tc>
          <w:tcPr>
            <w:tcW w:type="dxa" w:w="1080"/>
          </w:tcPr>
          <w:p>
            <w:r>
              <w:t>SRC04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ARPA anchor for &gt;$1k bucket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base_acquisition_rate</w:t>
            </w:r>
          </w:p>
        </w:tc>
        <w:tc>
          <w:tcPr>
            <w:tcW w:type="dxa" w:w="1080"/>
          </w:tcPr>
          <w:p>
            <w:r>
              <w:t>0.0140</w:t>
            </w:r>
          </w:p>
        </w:tc>
        <w:tc>
          <w:tcPr>
            <w:tcW w:type="dxa" w:w="1080"/>
          </w:tcPr>
          <w:p>
            <w:r>
              <w:t>share per month</w:t>
            </w:r>
          </w:p>
        </w:tc>
        <w:tc>
          <w:tcPr>
            <w:tcW w:type="dxa" w:w="1080"/>
          </w:tcPr>
          <w:p>
            <w:r>
              <w:t>controllable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Base monthly new-logo customer acquisition rate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sales_cycle_months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months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Lag from pipeline generation to closed-won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onboarding_lag_months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months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Lag from close to revenue recognition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implementation_capacity_per_month</w:t>
            </w:r>
          </w:p>
        </w:tc>
        <w:tc>
          <w:tcPr>
            <w:tcW w:type="dxa" w:w="1080"/>
          </w:tcPr>
          <w:p>
            <w:r>
              <w:t>3.50</w:t>
            </w:r>
          </w:p>
        </w:tc>
        <w:tc>
          <w:tcPr>
            <w:tcW w:type="dxa" w:w="1080"/>
          </w:tcPr>
          <w:p>
            <w:r>
              <w:t>customers per month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Max new customers onboarded per month in base case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sales_capacity_per_month</w:t>
            </w:r>
          </w:p>
        </w:tc>
        <w:tc>
          <w:tcPr>
            <w:tcW w:type="dxa" w:w="1080"/>
          </w:tcPr>
          <w:p>
            <w:r>
              <w:t>4.20</w:t>
            </w:r>
          </w:p>
        </w:tc>
        <w:tc>
          <w:tcPr>
            <w:tcW w:type="dxa" w:w="1080"/>
          </w:tcPr>
          <w:p>
            <w:r>
              <w:t>customers per month</w:t>
            </w:r>
          </w:p>
        </w:tc>
        <w:tc>
          <w:tcPr>
            <w:tcW w:type="dxa" w:w="1080"/>
          </w:tcPr>
          <w:p>
            <w:r>
              <w:t>operational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Max new customers closed per month in base case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enterprise_deal_probability_qtr</w:t>
            </w:r>
          </w:p>
        </w:tc>
        <w:tc>
          <w:tcPr>
            <w:tcW w:type="dxa" w:w="1080"/>
          </w:tcPr>
          <w:p>
            <w:r>
              <w:t>0.4500</w:t>
            </w:r>
          </w:p>
        </w:tc>
        <w:tc>
          <w:tcPr>
            <w:tcW w:type="dxa" w:w="1080"/>
          </w:tcPr>
          <w:p>
            <w:r>
              <w:t>probability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Chance of one larger enterprise deal each quarter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enterprise_deal_size_customers</w:t>
            </w:r>
          </w:p>
        </w:tc>
        <w:tc>
          <w:tcPr>
            <w:tcW w:type="dxa" w:w="1080"/>
          </w:tcPr>
          <w:p>
            <w:r>
              <w:t>1.60</w:t>
            </w:r>
          </w:p>
        </w:tc>
        <w:tc>
          <w:tcPr>
            <w:tcW w:type="dxa" w:w="1080"/>
          </w:tcPr>
          <w:p>
            <w:r>
              <w:t>customer equivalents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Lumpy enterprise contribution converted to customer equivalents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top_customer_arr_share</w:t>
            </w:r>
          </w:p>
        </w:tc>
        <w:tc>
          <w:tcPr>
            <w:tcW w:type="dxa" w:w="1080"/>
          </w:tcPr>
          <w:p>
            <w:r>
              <w:t>0.0900</w:t>
            </w:r>
          </w:p>
        </w:tc>
        <w:tc>
          <w:tcPr>
            <w:tcW w:type="dxa" w:w="1080"/>
          </w:tcPr>
          <w:p>
            <w:r>
              <w:t>share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SRC09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Concentration shock for largest account stress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base_retained_churn_rate</w:t>
            </w:r>
          </w:p>
        </w:tc>
        <w:tc>
          <w:tcPr>
            <w:tcW w:type="dxa" w:w="1080"/>
          </w:tcPr>
          <w:p>
            <w:r>
              <w:t>0.0115</w:t>
            </w:r>
          </w:p>
        </w:tc>
        <w:tc>
          <w:tcPr>
            <w:tcW w:type="dxa" w:w="1080"/>
          </w:tcPr>
          <w:p>
            <w:r>
              <w:t>share monthly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SRC04</w:t>
            </w:r>
          </w:p>
        </w:tc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Base retained-customer churn anchor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base_new_churn_multiplier</w:t>
            </w:r>
          </w:p>
        </w:tc>
        <w:tc>
          <w:tcPr>
            <w:tcW w:type="dxa" w:w="1080"/>
          </w:tcPr>
          <w:p>
            <w:r>
              <w:t>1.18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SRC04</w:t>
            </w:r>
          </w:p>
        </w:tc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New customers churn faster than retained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base_reactivated_churn_multiplier</w:t>
            </w:r>
          </w:p>
        </w:tc>
        <w:tc>
          <w:tcPr>
            <w:tcW w:type="dxa" w:w="1080"/>
          </w:tcPr>
          <w:p>
            <w:r>
              <w:t>1.20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SRC04</w:t>
            </w:r>
          </w:p>
        </w:tc>
        <w:tc>
          <w:tcPr>
            <w:tcW w:type="dxa" w:w="1080"/>
          </w:tcPr>
          <w:p>
            <w:r>
              <w:t>cs</w:t>
            </w:r>
          </w:p>
        </w:tc>
        <w:tc>
          <w:tcPr>
            <w:tcW w:type="dxa" w:w="1080"/>
          </w:tcPr>
          <w:p>
            <w:r>
              <w:t>Reactivated customers churn faster than retained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base_expansion_rate</w:t>
            </w:r>
          </w:p>
        </w:tc>
        <w:tc>
          <w:tcPr>
            <w:tcW w:type="dxa" w:w="1080"/>
          </w:tcPr>
          <w:p>
            <w:r>
              <w:t>0.0170</w:t>
            </w:r>
          </w:p>
        </w:tc>
        <w:tc>
          <w:tcPr>
            <w:tcW w:type="dxa" w:w="1080"/>
          </w:tcPr>
          <w:p>
            <w:r>
              <w:t>share monthly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SRC05</w:t>
            </w:r>
          </w:p>
        </w:tc>
        <w:tc>
          <w:tcPr>
            <w:tcW w:type="dxa" w:w="1080"/>
          </w:tcPr>
          <w:p>
            <w:r>
              <w:t>sales</w:t>
            </w:r>
          </w:p>
        </w:tc>
        <w:tc>
          <w:tcPr>
            <w:tcW w:type="dxa" w:w="1080"/>
          </w:tcPr>
          <w:p>
            <w:r>
              <w:t>Gross expansion on retained ARR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base_contraction_rate</w:t>
            </w:r>
          </w:p>
        </w:tc>
        <w:tc>
          <w:tcPr>
            <w:tcW w:type="dxa" w:w="1080"/>
          </w:tcPr>
          <w:p>
            <w:r>
              <w:t>0.0080</w:t>
            </w:r>
          </w:p>
        </w:tc>
        <w:tc>
          <w:tcPr>
            <w:tcW w:type="dxa" w:w="1080"/>
          </w:tcPr>
          <w:p>
            <w:r>
              <w:t>share monthly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SRC05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Contraction / downgrade rate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gross_margin_base</w:t>
            </w:r>
          </w:p>
        </w:tc>
        <w:tc>
          <w:tcPr>
            <w:tcW w:type="dxa" w:w="1080"/>
          </w:tcPr>
          <w:p>
            <w:r>
              <w:t>0.7800</w:t>
            </w:r>
          </w:p>
        </w:tc>
        <w:tc>
          <w:tcPr>
            <w:tcW w:type="dxa" w:w="1080"/>
          </w:tcPr>
          <w:p>
            <w:r>
              <w:t>share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SRC06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Gross margin used in unit economics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gross_margin_scale_slope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  <w:tc>
          <w:tcPr>
            <w:tcW w:type="dxa" w:w="1080"/>
          </w:tcPr>
          <w:p>
            <w:r>
              <w:t>share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SRC06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Margin modestly improves with ARR scale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new_customer_cac_ratio</w:t>
            </w:r>
          </w:p>
        </w:tc>
        <w:tc>
          <w:tcPr>
            <w:tcW w:type="dxa" w:w="1080"/>
          </w:tcPr>
          <w:p>
            <w:r>
              <w:t>1.35</w:t>
            </w:r>
          </w:p>
        </w:tc>
        <w:tc>
          <w:tcPr>
            <w:tcW w:type="dxa" w:w="1080"/>
          </w:tcPr>
          <w:p>
            <w:r>
              <w:t>x ACV</w:t>
            </w:r>
          </w:p>
        </w:tc>
        <w:tc>
          <w:tcPr>
            <w:tcW w:type="dxa" w:w="1080"/>
          </w:tcPr>
          <w:p>
            <w:r>
              <w:t>external</w:t>
            </w:r>
          </w:p>
        </w:tc>
        <w:tc>
          <w:tcPr>
            <w:tcW w:type="dxa" w:w="1080"/>
          </w:tcPr>
          <w:p>
            <w:r>
              <w:t>SRC07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Independent CAC benchmark input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annual_price_growth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share annual</w:t>
            </w:r>
          </w:p>
        </w:tc>
        <w:tc>
          <w:tcPr>
            <w:tcW w:type="dxa" w:w="1080"/>
          </w:tcPr>
          <w:p>
            <w:r>
              <w:t>controllable</w:t>
            </w:r>
          </w:p>
        </w:tc>
        <w:tc>
          <w:tcPr>
            <w:tcW w:type="dxa" w:w="1080"/>
          </w:tcPr>
          <w:p>
            <w:r>
              <w:t>SRC08</w:t>
            </w:r>
          </w:p>
        </w:tc>
        <w:tc>
          <w:tcPr>
            <w:tcW w:type="dxa" w:w="1080"/>
          </w:tcPr>
          <w:p>
            <w:r>
              <w:t>pricing</w:t>
            </w:r>
          </w:p>
        </w:tc>
        <w:tc>
          <w:tcPr>
            <w:tcW w:type="dxa" w:w="1080"/>
          </w:tcPr>
          <w:p>
            <w:r>
              <w:t>Base pricing uplift assumption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price_elasticity_logo_churn</w:t>
            </w:r>
          </w:p>
        </w:tc>
        <w:tc>
          <w:tcPr>
            <w:tcW w:type="dxa" w:w="1080"/>
          </w:tcPr>
          <w:p>
            <w:r>
              <w:t>0.6000</w:t>
            </w:r>
          </w:p>
        </w:tc>
        <w:tc>
          <w:tcPr>
            <w:tcW w:type="dxa" w:w="1080"/>
          </w:tcPr>
          <w:p>
            <w:r>
              <w:t>multiplier sensitivity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SRC08</w:t>
            </w:r>
          </w:p>
        </w:tc>
        <w:tc>
          <w:tcPr>
            <w:tcW w:type="dxa" w:w="1080"/>
          </w:tcPr>
          <w:p>
            <w:r>
              <w:t>pricing</w:t>
            </w:r>
          </w:p>
        </w:tc>
        <w:tc>
          <w:tcPr>
            <w:tcW w:type="dxa" w:w="1080"/>
          </w:tcPr>
          <w:p>
            <w:r>
              <w:t>Customer churn response to price pressure</w:t>
            </w:r>
          </w:p>
        </w:tc>
      </w:tr>
      <w:tr>
        <w:tc>
          <w:tcPr>
            <w:tcW w:type="dxa" w:w="1080"/>
          </w:tcPr>
          <w:p>
            <w:r>
              <w:t>SaaS</w:t>
            </w:r>
          </w:p>
        </w:tc>
        <w:tc>
          <w:tcPr>
            <w:tcW w:type="dxa" w:w="1080"/>
          </w:tcPr>
          <w:p>
            <w:r>
              <w:t>price_elasticity_acquisition</w:t>
            </w:r>
          </w:p>
        </w:tc>
        <w:tc>
          <w:tcPr>
            <w:tcW w:type="dxa" w:w="1080"/>
          </w:tcPr>
          <w:p>
            <w:r>
              <w:t>0.4000</w:t>
            </w:r>
          </w:p>
        </w:tc>
        <w:tc>
          <w:tcPr>
            <w:tcW w:type="dxa" w:w="1080"/>
          </w:tcPr>
          <w:p>
            <w:r>
              <w:t>multiplier sensitivity</w:t>
            </w:r>
          </w:p>
        </w:tc>
        <w:tc>
          <w:tcPr>
            <w:tcW w:type="dxa" w:w="1080"/>
          </w:tcPr>
          <w:p>
            <w:r>
              <w:t>derived</w:t>
            </w:r>
          </w:p>
        </w:tc>
        <w:tc>
          <w:tcPr>
            <w:tcW w:type="dxa" w:w="1080"/>
          </w:tcPr>
          <w:p>
            <w:r>
              <w:t>SRC08</w:t>
            </w:r>
          </w:p>
        </w:tc>
        <w:tc>
          <w:tcPr>
            <w:tcW w:type="dxa" w:w="1080"/>
          </w:tcPr>
          <w:p>
            <w:r>
              <w:t>pricing</w:t>
            </w:r>
          </w:p>
        </w:tc>
        <w:tc>
          <w:tcPr>
            <w:tcW w:type="dxa" w:w="1080"/>
          </w:tcPr>
          <w:p>
            <w:r>
              <w:t>New-logo conversion response to price pressure</w:t>
            </w:r>
          </w:p>
        </w:tc>
      </w:tr>
    </w:tbl>
    <w:p/>
    <w:p>
      <w:pPr>
        <w:pStyle w:val="Heading1"/>
      </w:pPr>
      <w:r>
        <w:t>Key Improvements from v3</w:t>
      </w:r>
    </w:p>
    <w:p>
      <w:pPr>
        <w:pStyle w:val="ListBullet"/>
      </w:pPr>
      <w:r>
        <w:t>Added sales-cycle and onboarding lags.</w:t>
      </w:r>
    </w:p>
    <w:p>
      <w:pPr>
        <w:pStyle w:val="ListBullet"/>
      </w:pPr>
      <w:r>
        <w:t>Added sales and implementation capacity constraints.</w:t>
      </w:r>
    </w:p>
    <w:p>
      <w:pPr>
        <w:pStyle w:val="ListBullet"/>
      </w:pPr>
      <w:r>
        <w:t>Added enterprise deal lumpiness.</w:t>
      </w:r>
    </w:p>
    <w:p>
      <w:pPr>
        <w:pStyle w:val="ListBullet"/>
      </w:pPr>
      <w:r>
        <w:t>Added top-customer concentration shock scenario.</w:t>
      </w:r>
    </w:p>
    <w:p>
      <w:pPr>
        <w:pStyle w:val="ListBullet"/>
      </w:pPr>
      <w:r>
        <w:t>Added failed-price, deal-slippage, and severe stress scenarios.</w:t>
      </w:r>
    </w:p>
    <w:p>
      <w:pPr>
        <w:pStyle w:val="ListBullet"/>
      </w:pPr>
      <w:r>
        <w:t>Added CAC payback and Rule-of-40 proxy diagnostics.</w:t>
      </w:r>
    </w:p>
    <w:p>
      <w:pPr>
        <w:pStyle w:val="ListBullet"/>
      </w:pPr>
      <w:r>
        <w:t>Centralized assumptions and source traceability.</w:t>
      </w:r>
    </w:p>
    <w:p>
      <w:pPr>
        <w:pStyle w:val="Heading1"/>
      </w:pPr>
      <w:r>
        <w:t>Base-Case and Scenario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Month24 ARR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Month24 MRR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Average Retention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Average NRR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Average CAC Payback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Min ARR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2,442,876.94</w:t>
            </w:r>
          </w:p>
        </w:tc>
        <w:tc>
          <w:tcPr>
            <w:tcW w:type="dxa" w:w="1234"/>
          </w:tcPr>
          <w:p>
            <w:r>
              <w:t>203,573.08</w:t>
            </w:r>
          </w:p>
        </w:tc>
        <w:tc>
          <w:tcPr>
            <w:tcW w:type="dxa" w:w="1234"/>
          </w:tcPr>
          <w:p>
            <w:r>
              <w:t>0.9901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20.74</w:t>
            </w:r>
          </w:p>
        </w:tc>
        <w:tc>
          <w:tcPr>
            <w:tcW w:type="dxa" w:w="1234"/>
          </w:tcPr>
          <w:p>
            <w:r>
              <w:t>1,998,846.02</w:t>
            </w:r>
          </w:p>
        </w:tc>
      </w:tr>
      <w:tr>
        <w:tc>
          <w:tcPr>
            <w:tcW w:type="dxa" w:w="1234"/>
          </w:tcPr>
          <w:p>
            <w:r>
              <w:t>low_churn</w:t>
            </w:r>
          </w:p>
        </w:tc>
        <w:tc>
          <w:tcPr>
            <w:tcW w:type="dxa" w:w="1234"/>
          </w:tcPr>
          <w:p>
            <w:r>
              <w:t>2,545,856.49</w:t>
            </w:r>
          </w:p>
        </w:tc>
        <w:tc>
          <w:tcPr>
            <w:tcW w:type="dxa" w:w="1234"/>
          </w:tcPr>
          <w:p>
            <w:r>
              <w:t>212,154.71</w:t>
            </w:r>
          </w:p>
        </w:tc>
        <w:tc>
          <w:tcPr>
            <w:tcW w:type="dxa" w:w="1234"/>
          </w:tcPr>
          <w:p>
            <w:r>
              <w:t>0.9903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20.74</w:t>
            </w:r>
          </w:p>
        </w:tc>
        <w:tc>
          <w:tcPr>
            <w:tcW w:type="dxa" w:w="1234"/>
          </w:tcPr>
          <w:p>
            <w:r>
              <w:t>2,001,855.50</w:t>
            </w:r>
          </w:p>
        </w:tc>
      </w:tr>
      <w:tr>
        <w:tc>
          <w:tcPr>
            <w:tcW w:type="dxa" w:w="1234"/>
          </w:tcPr>
          <w:p>
            <w:r>
              <w:t>high_churn</w:t>
            </w:r>
          </w:p>
        </w:tc>
        <w:tc>
          <w:tcPr>
            <w:tcW w:type="dxa" w:w="1234"/>
          </w:tcPr>
          <w:p>
            <w:r>
              <w:t>2,032,584.37</w:t>
            </w:r>
          </w:p>
        </w:tc>
        <w:tc>
          <w:tcPr>
            <w:tcW w:type="dxa" w:w="1234"/>
          </w:tcPr>
          <w:p>
            <w:r>
              <w:t>169,382.03</w:t>
            </w:r>
          </w:p>
        </w:tc>
        <w:tc>
          <w:tcPr>
            <w:tcW w:type="dxa" w:w="1234"/>
          </w:tcPr>
          <w:p>
            <w:r>
              <w:t>0.9884</w:t>
            </w:r>
          </w:p>
        </w:tc>
        <w:tc>
          <w:tcPr>
            <w:tcW w:type="dxa" w:w="1234"/>
          </w:tcPr>
          <w:p>
            <w:r>
              <w:t>0.9938</w:t>
            </w:r>
          </w:p>
        </w:tc>
        <w:tc>
          <w:tcPr>
            <w:tcW w:type="dxa" w:w="1234"/>
          </w:tcPr>
          <w:p>
            <w:r>
              <w:t>22.64</w:t>
            </w:r>
          </w:p>
        </w:tc>
        <w:tc>
          <w:tcPr>
            <w:tcW w:type="dxa" w:w="1234"/>
          </w:tcPr>
          <w:p>
            <w:r>
              <w:t>1,959,666.34</w:t>
            </w:r>
          </w:p>
        </w:tc>
      </w:tr>
      <w:tr>
        <w:tc>
          <w:tcPr>
            <w:tcW w:type="dxa" w:w="1234"/>
          </w:tcPr>
          <w:p>
            <w:r>
              <w:t>recession</w:t>
            </w:r>
          </w:p>
        </w:tc>
        <w:tc>
          <w:tcPr>
            <w:tcW w:type="dxa" w:w="1234"/>
          </w:tcPr>
          <w:p>
            <w:r>
              <w:t>1,795,057.72</w:t>
            </w:r>
          </w:p>
        </w:tc>
        <w:tc>
          <w:tcPr>
            <w:tcW w:type="dxa" w:w="1234"/>
          </w:tcPr>
          <w:p>
            <w:r>
              <w:t>149,588.14</w:t>
            </w:r>
          </w:p>
        </w:tc>
        <w:tc>
          <w:tcPr>
            <w:tcW w:type="dxa" w:w="1234"/>
          </w:tcPr>
          <w:p>
            <w:r>
              <w:t>0.9882</w:t>
            </w:r>
          </w:p>
        </w:tc>
        <w:tc>
          <w:tcPr>
            <w:tcW w:type="dxa" w:w="1234"/>
          </w:tcPr>
          <w:p>
            <w:r>
              <w:t>0.9897</w:t>
            </w:r>
          </w:p>
        </w:tc>
        <w:tc>
          <w:tcPr>
            <w:tcW w:type="dxa" w:w="1234"/>
          </w:tcPr>
          <w:p>
            <w:r>
              <w:t>22.86</w:t>
            </w:r>
          </w:p>
        </w:tc>
        <w:tc>
          <w:tcPr>
            <w:tcW w:type="dxa" w:w="1234"/>
          </w:tcPr>
          <w:p>
            <w:r>
              <w:t>1,795,057.72</w:t>
            </w:r>
          </w:p>
        </w:tc>
      </w:tr>
      <w:tr>
        <w:tc>
          <w:tcPr>
            <w:tcW w:type="dxa" w:w="1234"/>
          </w:tcPr>
          <w:p>
            <w:r>
              <w:t>competition</w:t>
            </w:r>
          </w:p>
        </w:tc>
        <w:tc>
          <w:tcPr>
            <w:tcW w:type="dxa" w:w="1234"/>
          </w:tcPr>
          <w:p>
            <w:r>
              <w:t>1,979,162.89</w:t>
            </w:r>
          </w:p>
        </w:tc>
        <w:tc>
          <w:tcPr>
            <w:tcW w:type="dxa" w:w="1234"/>
          </w:tcPr>
          <w:p>
            <w:r>
              <w:t>164,930.24</w:t>
            </w:r>
          </w:p>
        </w:tc>
        <w:tc>
          <w:tcPr>
            <w:tcW w:type="dxa" w:w="1234"/>
          </w:tcPr>
          <w:p>
            <w:r>
              <w:t>0.9886</w:t>
            </w:r>
          </w:p>
        </w:tc>
        <w:tc>
          <w:tcPr>
            <w:tcW w:type="dxa" w:w="1234"/>
          </w:tcPr>
          <w:p>
            <w:r>
              <w:t>0.9934</w:t>
            </w:r>
          </w:p>
        </w:tc>
        <w:tc>
          <w:tcPr>
            <w:tcW w:type="dxa" w:w="1234"/>
          </w:tcPr>
          <w:p>
            <w:r>
              <w:t>22.44</w:t>
            </w:r>
          </w:p>
        </w:tc>
        <w:tc>
          <w:tcPr>
            <w:tcW w:type="dxa" w:w="1234"/>
          </w:tcPr>
          <w:p>
            <w:r>
              <w:t>1,952,655.13</w:t>
            </w:r>
          </w:p>
        </w:tc>
      </w:tr>
      <w:tr>
        <w:tc>
          <w:tcPr>
            <w:tcW w:type="dxa" w:w="1234"/>
          </w:tcPr>
          <w:p>
            <w:r>
              <w:t>saturation</w:t>
            </w:r>
          </w:p>
        </w:tc>
        <w:tc>
          <w:tcPr>
            <w:tcW w:type="dxa" w:w="1234"/>
          </w:tcPr>
          <w:p>
            <w:r>
              <w:t>2,056,843.55</w:t>
            </w:r>
          </w:p>
        </w:tc>
        <w:tc>
          <w:tcPr>
            <w:tcW w:type="dxa" w:w="1234"/>
          </w:tcPr>
          <w:p>
            <w:r>
              <w:t>171,403.63</w:t>
            </w:r>
          </w:p>
        </w:tc>
        <w:tc>
          <w:tcPr>
            <w:tcW w:type="dxa" w:w="1234"/>
          </w:tcPr>
          <w:p>
            <w:r>
              <w:t>0.9895</w:t>
            </w:r>
          </w:p>
        </w:tc>
        <w:tc>
          <w:tcPr>
            <w:tcW w:type="dxa" w:w="1234"/>
          </w:tcPr>
          <w:p>
            <w:r>
              <w:t>0.9959</w:t>
            </w:r>
          </w:p>
        </w:tc>
        <w:tc>
          <w:tcPr>
            <w:tcW w:type="dxa" w:w="1234"/>
          </w:tcPr>
          <w:p>
            <w:r>
              <w:t>21.50</w:t>
            </w:r>
          </w:p>
        </w:tc>
        <w:tc>
          <w:tcPr>
            <w:tcW w:type="dxa" w:w="1234"/>
          </w:tcPr>
          <w:p>
            <w:r>
              <w:t>1,971,363.87</w:t>
            </w:r>
          </w:p>
        </w:tc>
      </w:tr>
      <w:tr>
        <w:tc>
          <w:tcPr>
            <w:tcW w:type="dxa" w:w="1234"/>
          </w:tcPr>
          <w:p>
            <w:r>
              <w:t>failed_price</w:t>
            </w:r>
          </w:p>
        </w:tc>
        <w:tc>
          <w:tcPr>
            <w:tcW w:type="dxa" w:w="1234"/>
          </w:tcPr>
          <w:p>
            <w:r>
              <w:t>2,254,285.92</w:t>
            </w:r>
          </w:p>
        </w:tc>
        <w:tc>
          <w:tcPr>
            <w:tcW w:type="dxa" w:w="1234"/>
          </w:tcPr>
          <w:p>
            <w:r>
              <w:t>187,857.16</w:t>
            </w:r>
          </w:p>
        </w:tc>
        <w:tc>
          <w:tcPr>
            <w:tcW w:type="dxa" w:w="1234"/>
          </w:tcPr>
          <w:p>
            <w:r>
              <w:t>0.9898</w:t>
            </w:r>
          </w:p>
        </w:tc>
        <w:tc>
          <w:tcPr>
            <w:tcW w:type="dxa" w:w="1234"/>
          </w:tcPr>
          <w:p>
            <w:r>
              <w:t>0.9979</w:t>
            </w:r>
          </w:p>
        </w:tc>
        <w:tc>
          <w:tcPr>
            <w:tcW w:type="dxa" w:w="1234"/>
          </w:tcPr>
          <w:p>
            <w:r>
              <w:t>21.07</w:t>
            </w:r>
          </w:p>
        </w:tc>
        <w:tc>
          <w:tcPr>
            <w:tcW w:type="dxa" w:w="1234"/>
          </w:tcPr>
          <w:p>
            <w:r>
              <w:t>1,983,042.73</w:t>
            </w:r>
          </w:p>
        </w:tc>
      </w:tr>
      <w:tr>
        <w:tc>
          <w:tcPr>
            <w:tcW w:type="dxa" w:w="1234"/>
          </w:tcPr>
          <w:p>
            <w:r>
              <w:t>slippage</w:t>
            </w:r>
          </w:p>
        </w:tc>
        <w:tc>
          <w:tcPr>
            <w:tcW w:type="dxa" w:w="1234"/>
          </w:tcPr>
          <w:p>
            <w:r>
              <w:t>2,305,589.55</w:t>
            </w:r>
          </w:p>
        </w:tc>
        <w:tc>
          <w:tcPr>
            <w:tcW w:type="dxa" w:w="1234"/>
          </w:tcPr>
          <w:p>
            <w:r>
              <w:t>192,132.46</w:t>
            </w:r>
          </w:p>
        </w:tc>
        <w:tc>
          <w:tcPr>
            <w:tcW w:type="dxa" w:w="1234"/>
          </w:tcPr>
          <w:p>
            <w:r>
              <w:t>0.9897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21.27</w:t>
            </w:r>
          </w:p>
        </w:tc>
        <w:tc>
          <w:tcPr>
            <w:tcW w:type="dxa" w:w="1234"/>
          </w:tcPr>
          <w:p>
            <w:r>
              <w:t>1,996,357.39</w:t>
            </w:r>
          </w:p>
        </w:tc>
      </w:tr>
      <w:tr>
        <w:tc>
          <w:tcPr>
            <w:tcW w:type="dxa" w:w="1234"/>
          </w:tcPr>
          <w:p>
            <w:r>
              <w:t>top_customer_loss</w:t>
            </w:r>
          </w:p>
        </w:tc>
        <w:tc>
          <w:tcPr>
            <w:tcW w:type="dxa" w:w="1234"/>
          </w:tcPr>
          <w:p>
            <w:r>
              <w:t>2,066,061.19</w:t>
            </w:r>
          </w:p>
        </w:tc>
        <w:tc>
          <w:tcPr>
            <w:tcW w:type="dxa" w:w="1234"/>
          </w:tcPr>
          <w:p>
            <w:r>
              <w:t>172,171.77</w:t>
            </w:r>
          </w:p>
        </w:tc>
        <w:tc>
          <w:tcPr>
            <w:tcW w:type="dxa" w:w="1234"/>
          </w:tcPr>
          <w:p>
            <w:r>
              <w:t>0.9894</w:t>
            </w:r>
          </w:p>
        </w:tc>
        <w:tc>
          <w:tcPr>
            <w:tcW w:type="dxa" w:w="1234"/>
          </w:tcPr>
          <w:p>
            <w:r>
              <w:t>0.9935</w:t>
            </w:r>
          </w:p>
        </w:tc>
        <w:tc>
          <w:tcPr>
            <w:tcW w:type="dxa" w:w="1234"/>
          </w:tcPr>
          <w:p>
            <w:r>
              <w:t>21.50</w:t>
            </w:r>
          </w:p>
        </w:tc>
        <w:tc>
          <w:tcPr>
            <w:tcW w:type="dxa" w:w="1234"/>
          </w:tcPr>
          <w:p>
            <w:r>
              <w:t>1,835,672.52</w:t>
            </w:r>
          </w:p>
        </w:tc>
      </w:tr>
      <w:tr>
        <w:tc>
          <w:tcPr>
            <w:tcW w:type="dxa" w:w="1234"/>
          </w:tcPr>
          <w:p>
            <w:r>
              <w:t>stress</w:t>
            </w:r>
          </w:p>
        </w:tc>
        <w:tc>
          <w:tcPr>
            <w:tcW w:type="dxa" w:w="1234"/>
          </w:tcPr>
          <w:p>
            <w:r>
              <w:t>1,330,196.79</w:t>
            </w:r>
          </w:p>
        </w:tc>
        <w:tc>
          <w:tcPr>
            <w:tcW w:type="dxa" w:w="1234"/>
          </w:tcPr>
          <w:p>
            <w:r>
              <w:t>110,849.73</w:t>
            </w:r>
          </w:p>
        </w:tc>
        <w:tc>
          <w:tcPr>
            <w:tcW w:type="dxa" w:w="1234"/>
          </w:tcPr>
          <w:p>
            <w:r>
              <w:t>0.9869</w:t>
            </w:r>
          </w:p>
        </w:tc>
        <w:tc>
          <w:tcPr>
            <w:tcW w:type="dxa" w:w="1234"/>
          </w:tcPr>
          <w:p>
            <w:r>
              <w:t>0.9786</w:t>
            </w:r>
          </w:p>
        </w:tc>
        <w:tc>
          <w:tcPr>
            <w:tcW w:type="dxa" w:w="1234"/>
          </w:tcPr>
          <w:p>
            <w:r>
              <w:t>24.37</w:t>
            </w:r>
          </w:p>
        </w:tc>
        <w:tc>
          <w:tcPr>
            <w:tcW w:type="dxa" w:w="1234"/>
          </w:tcPr>
          <w:p>
            <w:r>
              <w:t>1,330,196.79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341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v4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1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SaaS v4 ARR paths under full rerun scenarios.</w:t>
      </w:r>
    </w:p>
    <w:p>
      <w:pPr>
        <w:pStyle w:val="Heading1"/>
      </w:pPr>
      <w:r>
        <w:t>Dominant Drivers</w:t>
      </w:r>
    </w:p>
    <w:p>
      <w:r>
        <w:t>The top decision-changing drivers in v4 are stress regime / macro conditions, top-customer concentration shock, and deal slippage / acquisition efficiency. This helps management focus on the few variables that move ARR most materially.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Driver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Month24 ARR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 vs 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Abs Delta</w:t>
            </w:r>
          </w:p>
        </w:tc>
      </w:tr>
      <w:tr>
        <w:tc>
          <w:tcPr>
            <w:tcW w:type="dxa" w:w="2160"/>
          </w:tcPr>
          <w:p>
            <w:r>
              <w:t>Stress regime</w:t>
            </w:r>
          </w:p>
        </w:tc>
        <w:tc>
          <w:tcPr>
            <w:tcW w:type="dxa" w:w="2160"/>
          </w:tcPr>
          <w:p>
            <w:r>
              <w:t>1,330,196.79</w:t>
            </w:r>
          </w:p>
        </w:tc>
        <w:tc>
          <w:tcPr>
            <w:tcW w:type="dxa" w:w="2160"/>
          </w:tcPr>
          <w:p>
            <w:r>
              <w:t>-1,112,680.15</w:t>
            </w:r>
          </w:p>
        </w:tc>
        <w:tc>
          <w:tcPr>
            <w:tcW w:type="dxa" w:w="2160"/>
          </w:tcPr>
          <w:p>
            <w:r>
              <w:t>1,112,680.15</w:t>
            </w:r>
          </w:p>
        </w:tc>
      </w:tr>
      <w:tr>
        <w:tc>
          <w:tcPr>
            <w:tcW w:type="dxa" w:w="2160"/>
          </w:tcPr>
          <w:p>
            <w:r>
              <w:t>Recession</w:t>
            </w:r>
          </w:p>
        </w:tc>
        <w:tc>
          <w:tcPr>
            <w:tcW w:type="dxa" w:w="2160"/>
          </w:tcPr>
          <w:p>
            <w:r>
              <w:t>1,795,057.72</w:t>
            </w:r>
          </w:p>
        </w:tc>
        <w:tc>
          <w:tcPr>
            <w:tcW w:type="dxa" w:w="2160"/>
          </w:tcPr>
          <w:p>
            <w:r>
              <w:t>-647,819.22</w:t>
            </w:r>
          </w:p>
        </w:tc>
        <w:tc>
          <w:tcPr>
            <w:tcW w:type="dxa" w:w="2160"/>
          </w:tcPr>
          <w:p>
            <w:r>
              <w:t>647,819.22</w:t>
            </w:r>
          </w:p>
        </w:tc>
      </w:tr>
      <w:tr>
        <w:tc>
          <w:tcPr>
            <w:tcW w:type="dxa" w:w="2160"/>
          </w:tcPr>
          <w:p>
            <w:r>
              <w:t>High churn</w:t>
            </w:r>
          </w:p>
        </w:tc>
        <w:tc>
          <w:tcPr>
            <w:tcW w:type="dxa" w:w="2160"/>
          </w:tcPr>
          <w:p>
            <w:r>
              <w:t>2,032,584.37</w:t>
            </w:r>
          </w:p>
        </w:tc>
        <w:tc>
          <w:tcPr>
            <w:tcW w:type="dxa" w:w="2160"/>
          </w:tcPr>
          <w:p>
            <w:r>
              <w:t>-410,292.57</w:t>
            </w:r>
          </w:p>
        </w:tc>
        <w:tc>
          <w:tcPr>
            <w:tcW w:type="dxa" w:w="2160"/>
          </w:tcPr>
          <w:p>
            <w:r>
              <w:t>410,292.57</w:t>
            </w:r>
          </w:p>
        </w:tc>
      </w:tr>
      <w:tr>
        <w:tc>
          <w:tcPr>
            <w:tcW w:type="dxa" w:w="2160"/>
          </w:tcPr>
          <w:p>
            <w:r>
              <w:t>Top customer loss</w:t>
            </w:r>
          </w:p>
        </w:tc>
        <w:tc>
          <w:tcPr>
            <w:tcW w:type="dxa" w:w="2160"/>
          </w:tcPr>
          <w:p>
            <w:r>
              <w:t>2,066,061.19</w:t>
            </w:r>
          </w:p>
        </w:tc>
        <w:tc>
          <w:tcPr>
            <w:tcW w:type="dxa" w:w="2160"/>
          </w:tcPr>
          <w:p>
            <w:r>
              <w:t>-376,815.75</w:t>
            </w:r>
          </w:p>
        </w:tc>
        <w:tc>
          <w:tcPr>
            <w:tcW w:type="dxa" w:w="2160"/>
          </w:tcPr>
          <w:p>
            <w:r>
              <w:t>376,815.75</w:t>
            </w:r>
          </w:p>
        </w:tc>
      </w:tr>
      <w:tr>
        <w:tc>
          <w:tcPr>
            <w:tcW w:type="dxa" w:w="2160"/>
          </w:tcPr>
          <w:p>
            <w:r>
              <w:t>Deal slippage</w:t>
            </w:r>
          </w:p>
        </w:tc>
        <w:tc>
          <w:tcPr>
            <w:tcW w:type="dxa" w:w="2160"/>
          </w:tcPr>
          <w:p>
            <w:r>
              <w:t>2,305,589.55</w:t>
            </w:r>
          </w:p>
        </w:tc>
        <w:tc>
          <w:tcPr>
            <w:tcW w:type="dxa" w:w="2160"/>
          </w:tcPr>
          <w:p>
            <w:r>
              <w:t>-137,287.39</w:t>
            </w:r>
          </w:p>
        </w:tc>
        <w:tc>
          <w:tcPr>
            <w:tcW w:type="dxa" w:w="2160"/>
          </w:tcPr>
          <w:p>
            <w:r>
              <w:t>137,287.39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67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v4_driver_torn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SaaS dominant-driver ranking.</w:t>
      </w:r>
    </w:p>
    <w:p>
      <w:pPr>
        <w:pStyle w:val="Heading1"/>
      </w:pPr>
      <w:r>
        <w:t>Unit Economics and Uncertainty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</w:t>
            </w:r>
          </w:p>
        </w:tc>
      </w:tr>
      <w:tr>
        <w:tc>
          <w:tcPr>
            <w:tcW w:type="dxa" w:w="2160"/>
          </w:tcPr>
          <w:p>
            <w:r>
              <w:t>CLV</w:t>
            </w:r>
          </w:p>
        </w:tc>
        <w:tc>
          <w:tcPr>
            <w:tcW w:type="dxa" w:w="2160"/>
          </w:tcPr>
          <w:p>
            <w:r>
              <w:t>30,515.71</w:t>
            </w:r>
          </w:p>
        </w:tc>
        <w:tc>
          <w:tcPr>
            <w:tcW w:type="dxa" w:w="2160"/>
          </w:tcPr>
          <w:p>
            <w:r>
              <w:t>26,310.60</w:t>
            </w:r>
          </w:p>
        </w:tc>
        <w:tc>
          <w:tcPr>
            <w:tcW w:type="dxa" w:w="2160"/>
          </w:tcPr>
          <w:p>
            <w:r>
              <w:t>35,291.25</w:t>
            </w:r>
          </w:p>
        </w:tc>
      </w:tr>
      <w:tr>
        <w:tc>
          <w:tcPr>
            <w:tcW w:type="dxa" w:w="2160"/>
          </w:tcPr>
          <w:p>
            <w:r>
              <w:t>CAC</w:t>
            </w:r>
          </w:p>
        </w:tc>
        <w:tc>
          <w:tcPr>
            <w:tcW w:type="dxa" w:w="2160"/>
          </w:tcPr>
          <w:p>
            <w:r>
              <w:t>21,419.10</w:t>
            </w:r>
          </w:p>
        </w:tc>
        <w:tc>
          <w:tcPr>
            <w:tcW w:type="dxa" w:w="2160"/>
          </w:tcPr>
          <w:p>
            <w:r>
              <w:t>17,352.12</w:t>
            </w:r>
          </w:p>
        </w:tc>
        <w:tc>
          <w:tcPr>
            <w:tcW w:type="dxa" w:w="2160"/>
          </w:tcPr>
          <w:p>
            <w:r>
              <w:t>26,025.30</w:t>
            </w:r>
          </w:p>
        </w:tc>
      </w:tr>
      <w:tr>
        <w:tc>
          <w:tcPr>
            <w:tcW w:type="dxa" w:w="2160"/>
          </w:tcPr>
          <w:p>
            <w:r>
              <w:t>CLV/CAC Ratio</w:t>
            </w:r>
          </w:p>
        </w:tc>
        <w:tc>
          <w:tcPr>
            <w:tcW w:type="dxa" w:w="2160"/>
          </w:tcPr>
          <w:p>
            <w:r>
              <w:t>1.44</w:t>
            </w:r>
          </w:p>
        </w:tc>
        <w:tc>
          <w:tcPr>
            <w:tcW w:type="dxa" w:w="2160"/>
          </w:tcPr>
          <w:p>
            <w:r>
              <w:t>1.24</w:t>
            </w:r>
          </w:p>
        </w:tc>
        <w:tc>
          <w:tcPr>
            <w:tcW w:type="dxa" w:w="2160"/>
          </w:tcPr>
          <w:p>
            <w:r>
              <w:t>1.66</w:t>
            </w:r>
          </w:p>
        </w:tc>
      </w:tr>
      <w:tr>
        <w:tc>
          <w:tcPr>
            <w:tcW w:type="dxa" w:w="2160"/>
          </w:tcPr>
          <w:p>
            <w:r>
              <w:t>CAC Payback Months</w:t>
            </w:r>
          </w:p>
        </w:tc>
        <w:tc>
          <w:tcPr>
            <w:tcW w:type="dxa" w:w="2160"/>
          </w:tcPr>
          <w:p>
            <w:r>
              <w:t>20.77</w:t>
            </w:r>
          </w:p>
        </w:tc>
        <w:tc>
          <w:tcPr>
            <w:tcW w:type="dxa" w:w="2160"/>
          </w:tcPr>
          <w:p>
            <w:r>
              <w:t>18.04</w:t>
            </w:r>
          </w:p>
        </w:tc>
        <w:tc>
          <w:tcPr>
            <w:tcW w:type="dxa" w:w="2160"/>
          </w:tcPr>
          <w:p>
            <w:r>
              <w:t>23.48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17920" cy="3687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v4_clv_ca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8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SaaS v4 Monte Carlo unit-economics range.</w:t>
      </w:r>
    </w:p>
    <w:p>
      <w:pPr>
        <w:pStyle w:val="Heading1"/>
      </w:pPr>
      <w:r>
        <w:t>Risk Disclosure and Remaining Limitations</w:t>
      </w:r>
    </w:p>
    <w:p>
      <w:pPr>
        <w:pStyle w:val="ListBullet"/>
      </w:pPr>
      <w:r>
        <w:t>The model is still benchmark-calibrated and archetypal, not company-specific.</w:t>
      </w:r>
    </w:p>
    <w:p>
      <w:pPr>
        <w:pStyle w:val="ListBullet"/>
      </w:pPr>
      <w:r>
        <w:t>Concentration stress is modeled as a scenario, not as a fully segmented revenue ledger.</w:t>
      </w:r>
    </w:p>
    <w:p>
      <w:pPr>
        <w:pStyle w:val="ListBullet"/>
      </w:pPr>
      <w:r>
        <w:t>SaaS reactivation remains partially derived because public time-series evidence is limited.</w:t>
      </w:r>
    </w:p>
    <w:p>
      <w:pPr>
        <w:pStyle w:val="ListBullet"/>
      </w:pPr>
      <w:r>
        <w:t>Months 13-24 are directionally useful but less reliable than months 1-12.</w:t>
      </w:r>
    </w:p>
    <w:p>
      <w:pPr>
        <w:pStyle w:val="ListBullet"/>
      </w:pPr>
      <w:r>
        <w:t>The score is better because assumptions and business realism improved, not because downside was reduced.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