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Second Audit Response and Corrections</w:t>
        <w:br/>
      </w:r>
      <w:r>
        <w:rPr>
          <w:sz w:val="24"/>
        </w:rPr>
        <w:t>Response to the deeper code-level audit and v3 remediation</w:t>
      </w:r>
    </w:p>
    <w:p>
      <w:pPr>
        <w:jc w:val="center"/>
      </w:pPr>
      <w:r>
        <w:rPr>
          <w:sz w:val="22"/>
        </w:rPr>
        <w:t>Prepared: April 1, 2026</w:t>
        <w:br/>
      </w:r>
      <w:r>
        <w:rPr>
          <w:b/>
        </w:rPr>
        <w:t>Confidence score: 64/100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second deep audit correctly reduced the confidence score because it inspected the actual mechanics, not just the documentation. The prior 78/100 score was too high because the first review missed code-level problems including fabricated CLV/CAC reporting, cosmetic sensitivity analysis, acquisition plug logic, and ARR double-counting risk. The v3 correction addresses those issues directly and resets the confidence score to 64/100.</w:t>
      </w:r>
    </w:p>
    <w:p>
      <w:r>
        <w:t>This score is not a marketing claim. It reflects that the v3 model is materially better than v2, but still benchmark-calibrated and partially assumption-driven. The goal of this document is to show exactly how each of the second-audit findings was addressed and where remaining limitations still exist.</w:t>
      </w:r>
    </w:p>
    <w:p>
      <w:pPr>
        <w:pStyle w:val="Heading2"/>
      </w:pPr>
      <w:r>
        <w:t>Confidence Score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Code-level structural integrity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Source provenance transparency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Sensitivity realism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Unit-economics credibility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Scenario transparency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Overall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</w:tbl>
    <w:p/>
    <w:p>
      <w:pPr>
        <w:pStyle w:val="Heading2"/>
      </w:pPr>
      <w:r>
        <w:t>Issue-by-Issue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Issue_ID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Fabricated CLV/CAC Monte Carlo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Removed any hardcoded override; v3 uses actual Monte Carlo outputs from mc_summary and CSV/report values are generated from the same object.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SaaS churn insensitivity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Scenarios re-run the full model with different assumptions; low/high churn now produce different Month24 ARR outcomes.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Target-backed acquisition plug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New-logo acquisition is now an independent customer-rate input; ARR is an output and can decline.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SaaS ending ARR double-counting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ARR now follows a bridge identity: retained after churn + reactivated ARR + new-logo ARR + expansion ARR - contraction ARR.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Sensitivity analysis cosmetic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Sensitivity tables now come from full model re-runs under different scenarios.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SaaS self-healing to churn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Higher churn reduces customers and ARR because acquisition no longer plugs to a target.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Streaming churn rates static</w:t>
            </w:r>
          </w:p>
        </w:tc>
        <w:tc>
          <w:tcPr>
            <w:tcW w:type="dxa" w:w="2160"/>
          </w:tcPr>
          <w:p>
            <w:r>
              <w:t>Partially fixed</w:t>
            </w:r>
          </w:p>
        </w:tc>
        <w:tc>
          <w:tcPr>
            <w:tcW w:type="dxa" w:w="2160"/>
          </w:tcPr>
          <w:p>
            <w:r>
              <w:t>Rates are now cohort-specific and state-responsive to price pressure, competition, macro shock, and seasonality.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Weak reactivation provenance</w:t>
            </w:r>
          </w:p>
        </w:tc>
        <w:tc>
          <w:tcPr>
            <w:tcW w:type="dxa" w:w="2160"/>
          </w:tcPr>
          <w:p>
            <w:r>
              <w:t>Fixed with transparency</w:t>
            </w:r>
          </w:p>
        </w:tc>
        <w:tc>
          <w:tcPr>
            <w:tcW w:type="dxa" w:w="2160"/>
          </w:tcPr>
          <w:p>
            <w:r>
              <w:t>Voluntary curve is sourced from Antenna cumulative points with documented interpolation; involuntary curve is explicitly derived from Recurly aggregate recovery evidence.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Arbitrary repeat multipliers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Removed arbitrary repeat multipliers; repeat churners simply re-enter the same pool logic.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Streaming subscriber accounting error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Ending subscribers now satisfy the exact bridge identity every month.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No cohort aging logic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Tenure buckets 0-6, 7-12, and 13-24+ now affect churn.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Streaming sensitivity too narrow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Added recession, competition, saturation, and bull scenarios with materially wider output range.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No macro / competitive scenarios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Scenario set now includes recession, competition, and saturation cases.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Month 1 net churn edge case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Month 1 net churn now reflects no reactivation offset and is computed directly from the bridge.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$12K floor prevents contraction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Removed any acquisition / ARR floor that forced positive growth.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Hardcoded promotional timing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Removed calendar-promo logic; price pressure is scenario driven and continuous.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Involuntary reactivation ends at month 4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Derived curve now extends through month 6 and remaining months are explicitly zero.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CSV/report mismatch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All reports pull their quoted values directly from the same CSV-backed objects produced in v3 generation.</w:t>
            </w:r>
          </w:p>
        </w:tc>
      </w:tr>
    </w:tbl>
    <w:p/>
    <w:p>
      <w:pPr>
        <w:pStyle w:val="Heading1"/>
      </w:pPr>
      <w:r>
        <w:t>Why the Previous Audit Missed Important Problems</w:t>
      </w:r>
    </w:p>
    <w:p>
      <w:r>
        <w:t>The previous audit was too documentation-centric and did not inspect enough of the actual code paths and generated CSV outputs. That allowed a false sense of confidence to survive. The second audit was correct to focus on mechanics, consistency, and reproducibility. The v3 process therefore places stronger emphasis on identity checks, CSV/report consistency, and removal of reporting overrides.</w:t>
      </w:r>
    </w:p>
    <w:p>
      <w:pPr>
        <w:pStyle w:val="Heading1"/>
      </w:pPr>
      <w:r>
        <w:t>Before / After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t>Monte Carlo CLV/CAC</w:t>
            </w:r>
          </w:p>
        </w:tc>
        <w:tc>
          <w:tcPr>
            <w:tcW w:type="dxa" w:w="2880"/>
          </w:tcPr>
          <w:p>
            <w:r>
              <w:t>v2 report override could diverge from generated CSV</w:t>
            </w:r>
          </w:p>
        </w:tc>
        <w:tc>
          <w:tcPr>
            <w:tcW w:type="dxa" w:w="2880"/>
          </w:tcPr>
          <w:p>
            <w:r>
              <w:t>v3 report, CSV, and workbook all pull from same Monte Carlo summary object</w:t>
            </w:r>
          </w:p>
        </w:tc>
      </w:tr>
      <w:tr>
        <w:tc>
          <w:tcPr>
            <w:tcW w:type="dxa" w:w="2880"/>
          </w:tcPr>
          <w:p>
            <w:r>
              <w:t>SaaS acquisition</w:t>
            </w:r>
          </w:p>
        </w:tc>
        <w:tc>
          <w:tcPr>
            <w:tcW w:type="dxa" w:w="2880"/>
          </w:tcPr>
          <w:p>
            <w:r>
              <w:t>v2 could back into required growth</w:t>
            </w:r>
          </w:p>
        </w:tc>
        <w:tc>
          <w:tcPr>
            <w:tcW w:type="dxa" w:w="2880"/>
          </w:tcPr>
          <w:p>
            <w:r>
              <w:t>v3 acquisition is independent and ARR can decline</w:t>
            </w:r>
          </w:p>
        </w:tc>
      </w:tr>
      <w:tr>
        <w:tc>
          <w:tcPr>
            <w:tcW w:type="dxa" w:w="2880"/>
          </w:tcPr>
          <w:p>
            <w:r>
              <w:t>SaaS ARR identity</w:t>
            </w:r>
          </w:p>
        </w:tc>
        <w:tc>
          <w:tcPr>
            <w:tcW w:type="dxa" w:w="2880"/>
          </w:tcPr>
          <w:p>
            <w:r>
              <w:t>v2 risked overlap between customer-based ARR and expansion</w:t>
            </w:r>
          </w:p>
        </w:tc>
        <w:tc>
          <w:tcPr>
            <w:tcW w:type="dxa" w:w="2880"/>
          </w:tcPr>
          <w:p>
            <w:r>
              <w:t>v3 uses explicit ARR bridge formula</w:t>
            </w:r>
          </w:p>
        </w:tc>
      </w:tr>
      <w:tr>
        <w:tc>
          <w:tcPr>
            <w:tcW w:type="dxa" w:w="2880"/>
          </w:tcPr>
          <w:p>
            <w:r>
              <w:t>Sensitivity analysis</w:t>
            </w:r>
          </w:p>
        </w:tc>
        <w:tc>
          <w:tcPr>
            <w:tcW w:type="dxa" w:w="2880"/>
          </w:tcPr>
          <w:p>
            <w:r>
              <w:t>v2 could apply cosmetic multipliers</w:t>
            </w:r>
          </w:p>
        </w:tc>
        <w:tc>
          <w:tcPr>
            <w:tcW w:type="dxa" w:w="2880"/>
          </w:tcPr>
          <w:p>
            <w:r>
              <w:t>v3 re-runs full models for each scenario</w:t>
            </w:r>
          </w:p>
        </w:tc>
      </w:tr>
      <w:tr>
        <w:tc>
          <w:tcPr>
            <w:tcW w:type="dxa" w:w="2880"/>
          </w:tcPr>
          <w:p>
            <w:r>
              <w:t>Streaming bridge</w:t>
            </w:r>
          </w:p>
        </w:tc>
        <w:tc>
          <w:tcPr>
            <w:tcW w:type="dxa" w:w="2880"/>
          </w:tcPr>
          <w:p>
            <w:r>
              <w:t>v2 accounting ambiguity</w:t>
            </w:r>
          </w:p>
        </w:tc>
        <w:tc>
          <w:tcPr>
            <w:tcW w:type="dxa" w:w="2880"/>
          </w:tcPr>
          <w:p>
            <w:r>
              <w:t>v3 checks monthly subscriber identity explicitly</w:t>
            </w:r>
          </w:p>
        </w:tc>
      </w:tr>
    </w:tbl>
    <w:p/>
    <w:p>
      <w:pPr>
        <w:pStyle w:val="Heading1"/>
      </w:pPr>
      <w:r>
        <w:t>Consistency Evidence</w:t>
      </w:r>
    </w:p>
    <w:p>
      <w:r>
        <w:t>Actual Monte Carlo CLV/CAC mean in v3 CSV: 1.40x. The SaaS report cites the same value. Base Month24 SaaS ARR in CSV: 2,489,042.45. Base Month24 Streaming ARR in CSV: 160,952.24. All headline values in the reports are generated from these same in-memory dataframes before export, which fixes the prior mismatch problem.</w:t>
      </w:r>
    </w:p>
    <w:p>
      <w:pPr>
        <w:pStyle w:val="Heading1"/>
      </w:pPr>
      <w:r>
        <w:t>Remaining Weaknesses</w:t>
      </w:r>
    </w:p>
    <w:p>
      <w:pPr>
        <w:pStyle w:val="ListBullet"/>
      </w:pPr>
      <w:r>
        <w:t>Benchmark-only models are still weaker than first-party models.</w:t>
      </w:r>
    </w:p>
    <w:p>
      <w:pPr>
        <w:pStyle w:val="ListBullet"/>
      </w:pPr>
      <w:r>
        <w:t>Involuntary recovery timing remains derived rather than directly observed at monthly granularity.</w:t>
      </w:r>
    </w:p>
    <w:p>
      <w:pPr>
        <w:pStyle w:val="ListBullet"/>
      </w:pPr>
      <w:r>
        <w:t>SaaS reactivation dynamics remain partially assumption-driven because public time-series evidence is limited.</w:t>
      </w:r>
    </w:p>
    <w:p>
      <w:pPr>
        <w:pStyle w:val="ListBullet"/>
      </w:pPr>
      <w:r>
        <w:t>Confidence should not be interpreted as statistical probability of forecast accuracy.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