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Streaming Revenue Driver Model Final Report v4</w:t>
        <w:br/>
      </w:r>
      <w:r>
        <w:rPr>
          <w:sz w:val="24"/>
        </w:rPr>
        <w:t>Updated standalone Streaming report reflecting checklist-driven improvements</w:t>
      </w:r>
    </w:p>
    <w:p>
      <w:pPr>
        <w:jc w:val="center"/>
      </w:pPr>
      <w:r>
        <w:rPr>
          <w:sz w:val="22"/>
        </w:rPr>
        <w:t>Prepared: April 1, 2026</w:t>
        <w:br/>
      </w:r>
      <w:r>
        <w:rPr>
          <w:b/>
        </w:rPr>
        <w:t>Confidence score: 83.3/100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The v4 Streaming model incorporates the checklist-driven fixes by improving assumption governance, uncertainty communication, scenario width, pricing-failure handling, campaign timing realism, and dominant-driver transparency. The model retains explicit subscriber accounting and adds a clearer separation between controllable actions, external conditions, and derived assumptions. It also expands downside coverage through failed-price and severe stress scenarios.</w:t>
      </w:r>
    </w:p>
    <w:p>
      <w:r>
        <w:t>The v4 checklist score is 83.3/100, placing the model in the “Generally sound” range. The most important remaining limitation is that streaming gross-margin-based unit economics remain intentionally excluded rather than fabricated. This keeps the model more honest even if it leaves some economic questions unanswered.</w:t>
      </w:r>
    </w:p>
    <w:p>
      <w:pPr>
        <w:pStyle w:val="Heading1"/>
      </w:pPr>
      <w:r>
        <w:t>Model Purpose and Intended Use</w:t>
      </w:r>
    </w:p>
    <w:p>
      <w:r>
        <w:t>This model is for planning, scenario analysis, and recurring-revenue system interpretation. It is not a commitment forecast. It is most useful for evaluating how acquisition, churn, reactivation, pricing, leakage, and installed-base monetization interact.</w:t>
      </w:r>
    </w:p>
    <w:p>
      <w:pPr>
        <w:pStyle w:val="Heading1"/>
      </w:pPr>
      <w:r>
        <w:t>Explicit Assumptions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Domain</w:t>
            </w:r>
          </w:p>
        </w:tc>
        <w:tc>
          <w:tcPr>
            <w:tcW w:type="dxa" w:w="1080"/>
          </w:tcPr>
          <w:p>
            <w:r>
              <w:rPr>
                <w:b/>
              </w:rPr>
              <w:t>Parameter</w:t>
            </w:r>
          </w:p>
        </w:tc>
        <w:tc>
          <w:tcPr>
            <w:tcW w:type="dxa" w:w="1080"/>
          </w:tcPr>
          <w:p>
            <w:r>
              <w:rPr>
                <w:b/>
              </w:rPr>
              <w:t>Value</w:t>
            </w:r>
          </w:p>
        </w:tc>
        <w:tc>
          <w:tcPr>
            <w:tcW w:type="dxa" w:w="1080"/>
          </w:tcPr>
          <w:p>
            <w:r>
              <w:rPr>
                <w:b/>
              </w:rPr>
              <w:t>Unit</w:t>
            </w:r>
          </w:p>
        </w:tc>
        <w:tc>
          <w:tcPr>
            <w:tcW w:type="dxa" w:w="1080"/>
          </w:tcPr>
          <w:p>
            <w:r>
              <w:rPr>
                <w:b/>
              </w:rPr>
              <w:t>Type</w:t>
            </w:r>
          </w:p>
        </w:tc>
        <w:tc>
          <w:tcPr>
            <w:tcW w:type="dxa" w:w="1080"/>
          </w:tcPr>
          <w:p>
            <w:r>
              <w:rPr>
                <w:b/>
              </w:rPr>
              <w:t>Source_ID</w:t>
            </w:r>
          </w:p>
        </w:tc>
        <w:tc>
          <w:tcPr>
            <w:tcW w:type="dxa" w:w="1080"/>
          </w:tcPr>
          <w:p>
            <w:r>
              <w:rPr>
                <w:b/>
              </w:rPr>
              <w:t>Owner</w:t>
            </w:r>
          </w:p>
        </w:tc>
        <w:tc>
          <w:tcPr>
            <w:tcW w:type="dxa" w:w="1080"/>
          </w:tcPr>
          <w:p>
            <w:r>
              <w:rPr>
                <w:b/>
              </w:rPr>
              <w:t>Description</w:t>
            </w:r>
          </w:p>
        </w:tc>
      </w:tr>
      <w:tr>
        <w:tc>
          <w:tcPr>
            <w:tcW w:type="dxa" w:w="1080"/>
          </w:tcPr>
          <w:p>
            <w:r>
              <w:t>Streaming</w:t>
            </w:r>
          </w:p>
        </w:tc>
        <w:tc>
          <w:tcPr>
            <w:tcW w:type="dxa" w:w="1080"/>
          </w:tcPr>
          <w:p>
            <w:r>
              <w:t>starting_rate_card_mrr</w:t>
            </w:r>
          </w:p>
        </w:tc>
        <w:tc>
          <w:tcPr>
            <w:tcW w:type="dxa" w:w="1080"/>
          </w:tcPr>
          <w:p>
            <w:r>
              <w:t>12,026</w:t>
            </w:r>
          </w:p>
        </w:tc>
        <w:tc>
          <w:tcPr>
            <w:tcW w:type="dxa" w:w="1080"/>
          </w:tcPr>
          <w:p>
            <w:r>
              <w:t>USD monthly</w:t>
            </w:r>
          </w:p>
        </w:tc>
        <w:tc>
          <w:tcPr>
            <w:tcW w:type="dxa" w:w="1080"/>
          </w:tcPr>
          <w:p>
            <w:r>
              <w:t>input</w:t>
            </w:r>
          </w:p>
        </w:tc>
        <w:tc>
          <w:tcPr>
            <w:tcW w:type="dxa" w:w="1080"/>
          </w:tcPr>
          <w:p>
            <w:r>
              <w:t>SRC01</w:t>
            </w:r>
          </w:p>
        </w:tc>
        <w:tc>
          <w:tcPr>
            <w:tcW w:type="dxa" w:w="1080"/>
          </w:tcPr>
          <w:p>
            <w:r>
              <w:t>model</w:t>
            </w:r>
          </w:p>
        </w:tc>
        <w:tc>
          <w:tcPr>
            <w:tcW w:type="dxa" w:w="1080"/>
          </w:tcPr>
          <w:p>
            <w:r>
              <w:t>Observed anchor used to derive beginning subs</w:t>
            </w:r>
          </w:p>
        </w:tc>
      </w:tr>
      <w:tr>
        <w:tc>
          <w:tcPr>
            <w:tcW w:type="dxa" w:w="1080"/>
          </w:tcPr>
          <w:p>
            <w:r>
              <w:t>Streaming</w:t>
            </w:r>
          </w:p>
        </w:tc>
        <w:tc>
          <w:tcPr>
            <w:tcW w:type="dxa" w:w="1080"/>
          </w:tcPr>
          <w:p>
            <w:r>
              <w:t>weighted_arpu</w:t>
            </w:r>
          </w:p>
        </w:tc>
        <w:tc>
          <w:tcPr>
            <w:tcW w:type="dxa" w:w="1080"/>
          </w:tcPr>
          <w:p>
            <w:r>
              <w:t>9.60</w:t>
            </w:r>
          </w:p>
        </w:tc>
        <w:tc>
          <w:tcPr>
            <w:tcW w:type="dxa" w:w="1080"/>
          </w:tcPr>
          <w:p>
            <w:r>
              <w:t>USD monthly</w:t>
            </w:r>
          </w:p>
        </w:tc>
        <w:tc>
          <w:tcPr>
            <w:tcW w:type="dxa" w:w="1080"/>
          </w:tcPr>
          <w:p>
            <w:r>
              <w:t>input</w:t>
            </w:r>
          </w:p>
        </w:tc>
        <w:tc>
          <w:tcPr>
            <w:tcW w:type="dxa" w:w="1080"/>
          </w:tcPr>
          <w:p>
            <w:r>
              <w:t>SRC01</w:t>
            </w:r>
          </w:p>
        </w:tc>
        <w:tc>
          <w:tcPr>
            <w:tcW w:type="dxa" w:w="1080"/>
          </w:tcPr>
          <w:p>
            <w:r>
              <w:t>model</w:t>
            </w:r>
          </w:p>
        </w:tc>
        <w:tc>
          <w:tcPr>
            <w:tcW w:type="dxa" w:w="1080"/>
          </w:tcPr>
          <w:p>
            <w:r>
              <w:t>Subscriber-weighted ARPU anchor</w:t>
            </w:r>
          </w:p>
        </w:tc>
      </w:tr>
      <w:tr>
        <w:tc>
          <w:tcPr>
            <w:tcW w:type="dxa" w:w="1080"/>
          </w:tcPr>
          <w:p>
            <w:r>
              <w:t>Streaming</w:t>
            </w:r>
          </w:p>
        </w:tc>
        <w:tc>
          <w:tcPr>
            <w:tcW w:type="dxa" w:w="1080"/>
          </w:tcPr>
          <w:p>
            <w:r>
              <w:t>billing_leakage_base</w:t>
            </w:r>
          </w:p>
        </w:tc>
        <w:tc>
          <w:tcPr>
            <w:tcW w:type="dxa" w:w="1080"/>
          </w:tcPr>
          <w:p>
            <w:r>
              <w:t>0.0450</w:t>
            </w:r>
          </w:p>
        </w:tc>
        <w:tc>
          <w:tcPr>
            <w:tcW w:type="dxa" w:w="1080"/>
          </w:tcPr>
          <w:p>
            <w:r>
              <w:t>share</w:t>
            </w:r>
          </w:p>
        </w:tc>
        <w:tc>
          <w:tcPr>
            <w:tcW w:type="dxa" w:w="1080"/>
          </w:tcPr>
          <w:p>
            <w:r>
              <w:t>external</w:t>
            </w:r>
          </w:p>
        </w:tc>
        <w:tc>
          <w:tcPr>
            <w:tcW w:type="dxa" w:w="1080"/>
          </w:tcPr>
          <w:p>
            <w:r>
              <w:t>SRC03</w:t>
            </w:r>
          </w:p>
        </w:tc>
        <w:tc>
          <w:tcPr>
            <w:tcW w:type="dxa" w:w="1080"/>
          </w:tcPr>
          <w:p>
            <w:r>
              <w:t>finance</w:t>
            </w:r>
          </w:p>
        </w:tc>
        <w:tc>
          <w:tcPr>
            <w:tcW w:type="dxa" w:w="1080"/>
          </w:tcPr>
          <w:p>
            <w:r>
              <w:t>Base leakage from billing decline context</w:t>
            </w:r>
          </w:p>
        </w:tc>
      </w:tr>
      <w:tr>
        <w:tc>
          <w:tcPr>
            <w:tcW w:type="dxa" w:w="1080"/>
          </w:tcPr>
          <w:p>
            <w:r>
              <w:t>Streaming</w:t>
            </w:r>
          </w:p>
        </w:tc>
        <w:tc>
          <w:tcPr>
            <w:tcW w:type="dxa" w:w="1080"/>
          </w:tcPr>
          <w:p>
            <w:r>
              <w:t>billing_leakage_low</w:t>
            </w:r>
          </w:p>
        </w:tc>
        <w:tc>
          <w:tcPr>
            <w:tcW w:type="dxa" w:w="1080"/>
          </w:tcPr>
          <w:p>
            <w:r>
              <w:t>0.0200</w:t>
            </w:r>
          </w:p>
        </w:tc>
        <w:tc>
          <w:tcPr>
            <w:tcW w:type="dxa" w:w="1080"/>
          </w:tcPr>
          <w:p>
            <w:r>
              <w:t>share</w:t>
            </w:r>
          </w:p>
        </w:tc>
        <w:tc>
          <w:tcPr>
            <w:tcW w:type="dxa" w:w="1080"/>
          </w:tcPr>
          <w:p>
            <w:r>
              <w:t>external</w:t>
            </w:r>
          </w:p>
        </w:tc>
        <w:tc>
          <w:tcPr>
            <w:tcW w:type="dxa" w:w="1080"/>
          </w:tcPr>
          <w:p>
            <w:r>
              <w:t>SRC03</w:t>
            </w:r>
          </w:p>
        </w:tc>
        <w:tc>
          <w:tcPr>
            <w:tcW w:type="dxa" w:w="1080"/>
          </w:tcPr>
          <w:p>
            <w:r>
              <w:t>finance</w:t>
            </w:r>
          </w:p>
        </w:tc>
        <w:tc>
          <w:tcPr>
            <w:tcW w:type="dxa" w:w="1080"/>
          </w:tcPr>
          <w:p>
            <w:r>
              <w:t>Low leakage scenario</w:t>
            </w:r>
          </w:p>
        </w:tc>
      </w:tr>
      <w:tr>
        <w:tc>
          <w:tcPr>
            <w:tcW w:type="dxa" w:w="1080"/>
          </w:tcPr>
          <w:p>
            <w:r>
              <w:t>Streaming</w:t>
            </w:r>
          </w:p>
        </w:tc>
        <w:tc>
          <w:tcPr>
            <w:tcW w:type="dxa" w:w="1080"/>
          </w:tcPr>
          <w:p>
            <w:r>
              <w:t>billing_leakage_high</w:t>
            </w:r>
          </w:p>
        </w:tc>
        <w:tc>
          <w:tcPr>
            <w:tcW w:type="dxa" w:w="1080"/>
          </w:tcPr>
          <w:p>
            <w:r>
              <w:t>0.0800</w:t>
            </w:r>
          </w:p>
        </w:tc>
        <w:tc>
          <w:tcPr>
            <w:tcW w:type="dxa" w:w="1080"/>
          </w:tcPr>
          <w:p>
            <w:r>
              <w:t>share</w:t>
            </w:r>
          </w:p>
        </w:tc>
        <w:tc>
          <w:tcPr>
            <w:tcW w:type="dxa" w:w="1080"/>
          </w:tcPr>
          <w:p>
            <w:r>
              <w:t>external</w:t>
            </w:r>
          </w:p>
        </w:tc>
        <w:tc>
          <w:tcPr>
            <w:tcW w:type="dxa" w:w="1080"/>
          </w:tcPr>
          <w:p>
            <w:r>
              <w:t>SRC03</w:t>
            </w:r>
          </w:p>
        </w:tc>
        <w:tc>
          <w:tcPr>
            <w:tcW w:type="dxa" w:w="1080"/>
          </w:tcPr>
          <w:p>
            <w:r>
              <w:t>finance</w:t>
            </w:r>
          </w:p>
        </w:tc>
        <w:tc>
          <w:tcPr>
            <w:tcW w:type="dxa" w:w="1080"/>
          </w:tcPr>
          <w:p>
            <w:r>
              <w:t>High leakage scenario</w:t>
            </w:r>
          </w:p>
        </w:tc>
      </w:tr>
      <w:tr>
        <w:tc>
          <w:tcPr>
            <w:tcW w:type="dxa" w:w="1080"/>
          </w:tcPr>
          <w:p>
            <w:r>
              <w:t>Streaming</w:t>
            </w:r>
          </w:p>
        </w:tc>
        <w:tc>
          <w:tcPr>
            <w:tcW w:type="dxa" w:w="1080"/>
          </w:tcPr>
          <w:p>
            <w:r>
              <w:t>base_acquisition_rate</w:t>
            </w:r>
          </w:p>
        </w:tc>
        <w:tc>
          <w:tcPr>
            <w:tcW w:type="dxa" w:w="1080"/>
          </w:tcPr>
          <w:p>
            <w:r>
              <w:t>0.0600</w:t>
            </w:r>
          </w:p>
        </w:tc>
        <w:tc>
          <w:tcPr>
            <w:tcW w:type="dxa" w:w="1080"/>
          </w:tcPr>
          <w:p>
            <w:r>
              <w:t>share per month</w:t>
            </w:r>
          </w:p>
        </w:tc>
        <w:tc>
          <w:tcPr>
            <w:tcW w:type="dxa" w:w="1080"/>
          </w:tcPr>
          <w:p>
            <w:r>
              <w:t>controllable</w:t>
            </w:r>
          </w:p>
        </w:tc>
        <w:tc>
          <w:tcPr>
            <w:tcW w:type="dxa" w:w="1080"/>
          </w:tcPr>
          <w:p>
            <w:r>
              <w:t>SRC09</w:t>
            </w:r>
          </w:p>
        </w:tc>
        <w:tc>
          <w:tcPr>
            <w:tcW w:type="dxa" w:w="1080"/>
          </w:tcPr>
          <w:p>
            <w:r>
              <w:t>growth</w:t>
            </w:r>
          </w:p>
        </w:tc>
        <w:tc>
          <w:tcPr>
            <w:tcW w:type="dxa" w:w="1080"/>
          </w:tcPr>
          <w:p>
            <w:r>
              <w:t>Base gross add rate before saturation</w:t>
            </w:r>
          </w:p>
        </w:tc>
      </w:tr>
      <w:tr>
        <w:tc>
          <w:tcPr>
            <w:tcW w:type="dxa" w:w="1080"/>
          </w:tcPr>
          <w:p>
            <w:r>
              <w:t>Streaming</w:t>
            </w:r>
          </w:p>
        </w:tc>
        <w:tc>
          <w:tcPr>
            <w:tcW w:type="dxa" w:w="1080"/>
          </w:tcPr>
          <w:p>
            <w:r>
              <w:t>market_capacity_multiplier</w:t>
            </w:r>
          </w:p>
        </w:tc>
        <w:tc>
          <w:tcPr>
            <w:tcW w:type="dxa" w:w="1080"/>
          </w:tcPr>
          <w:p>
            <w:r>
              <w:t>2.10</w:t>
            </w:r>
          </w:p>
        </w:tc>
        <w:tc>
          <w:tcPr>
            <w:tcW w:type="dxa" w:w="1080"/>
          </w:tcPr>
          <w:p>
            <w:r>
              <w:t>x starting subs</w:t>
            </w:r>
          </w:p>
        </w:tc>
        <w:tc>
          <w:tcPr>
            <w:tcW w:type="dxa" w:w="1080"/>
          </w:tcPr>
          <w:p>
            <w:r>
              <w:t>derived</w:t>
            </w:r>
          </w:p>
        </w:tc>
        <w:tc>
          <w:tcPr>
            <w:tcW w:type="dxa" w:w="1080"/>
          </w:tcPr>
          <w:p>
            <w:r>
              <w:t>SRC09</w:t>
            </w:r>
          </w:p>
        </w:tc>
        <w:tc>
          <w:tcPr>
            <w:tcW w:type="dxa" w:w="1080"/>
          </w:tcPr>
          <w:p>
            <w:r>
              <w:t>strategy</w:t>
            </w:r>
          </w:p>
        </w:tc>
        <w:tc>
          <w:tcPr>
            <w:tcW w:type="dxa" w:w="1080"/>
          </w:tcPr>
          <w:p>
            <w:r>
              <w:t>Crude capacity guardrail</w:t>
            </w:r>
          </w:p>
        </w:tc>
      </w:tr>
      <w:tr>
        <w:tc>
          <w:tcPr>
            <w:tcW w:type="dxa" w:w="1080"/>
          </w:tcPr>
          <w:p>
            <w:r>
              <w:t>Streaming</w:t>
            </w:r>
          </w:p>
        </w:tc>
        <w:tc>
          <w:tcPr>
            <w:tcW w:type="dxa" w:w="1080"/>
          </w:tcPr>
          <w:p>
            <w:r>
              <w:t>annual_price_growth</w:t>
            </w:r>
          </w:p>
        </w:tc>
        <w:tc>
          <w:tcPr>
            <w:tcW w:type="dxa" w:w="1080"/>
          </w:tcPr>
          <w:p>
            <w:r>
              <w:t>0.0500</w:t>
            </w:r>
          </w:p>
        </w:tc>
        <w:tc>
          <w:tcPr>
            <w:tcW w:type="dxa" w:w="1080"/>
          </w:tcPr>
          <w:p>
            <w:r>
              <w:t>share annual</w:t>
            </w:r>
          </w:p>
        </w:tc>
        <w:tc>
          <w:tcPr>
            <w:tcW w:type="dxa" w:w="1080"/>
          </w:tcPr>
          <w:p>
            <w:r>
              <w:t>controllable</w:t>
            </w:r>
          </w:p>
        </w:tc>
        <w:tc>
          <w:tcPr>
            <w:tcW w:type="dxa" w:w="1080"/>
          </w:tcPr>
          <w:p>
            <w:r>
              <w:t>SRC08</w:t>
            </w:r>
          </w:p>
        </w:tc>
        <w:tc>
          <w:tcPr>
            <w:tcW w:type="dxa" w:w="1080"/>
          </w:tcPr>
          <w:p>
            <w:r>
              <w:t>pricing</w:t>
            </w:r>
          </w:p>
        </w:tc>
        <w:tc>
          <w:tcPr>
            <w:tcW w:type="dxa" w:w="1080"/>
          </w:tcPr>
          <w:p>
            <w:r>
              <w:t>Base list-price growth assumption</w:t>
            </w:r>
          </w:p>
        </w:tc>
      </w:tr>
      <w:tr>
        <w:tc>
          <w:tcPr>
            <w:tcW w:type="dxa" w:w="1080"/>
          </w:tcPr>
          <w:p>
            <w:r>
              <w:t>Streaming</w:t>
            </w:r>
          </w:p>
        </w:tc>
        <w:tc>
          <w:tcPr>
            <w:tcW w:type="dxa" w:w="1080"/>
          </w:tcPr>
          <w:p>
            <w:r>
              <w:t>price_elasticity_churn</w:t>
            </w:r>
          </w:p>
        </w:tc>
        <w:tc>
          <w:tcPr>
            <w:tcW w:type="dxa" w:w="1080"/>
          </w:tcPr>
          <w:p>
            <w:r>
              <w:t>0.8500</w:t>
            </w:r>
          </w:p>
        </w:tc>
        <w:tc>
          <w:tcPr>
            <w:tcW w:type="dxa" w:w="1080"/>
          </w:tcPr>
          <w:p>
            <w:r>
              <w:t>multiplier sensitivity</w:t>
            </w:r>
          </w:p>
        </w:tc>
        <w:tc>
          <w:tcPr>
            <w:tcW w:type="dxa" w:w="1080"/>
          </w:tcPr>
          <w:p>
            <w:r>
              <w:t>derived</w:t>
            </w:r>
          </w:p>
        </w:tc>
        <w:tc>
          <w:tcPr>
            <w:tcW w:type="dxa" w:w="1080"/>
          </w:tcPr>
          <w:p>
            <w:r>
              <w:t>SRC08</w:t>
            </w:r>
          </w:p>
        </w:tc>
        <w:tc>
          <w:tcPr>
            <w:tcW w:type="dxa" w:w="1080"/>
          </w:tcPr>
          <w:p>
            <w:r>
              <w:t>pricing</w:t>
            </w:r>
          </w:p>
        </w:tc>
        <w:tc>
          <w:tcPr>
            <w:tcW w:type="dxa" w:w="1080"/>
          </w:tcPr>
          <w:p>
            <w:r>
              <w:t>Churn response to price pressure</w:t>
            </w:r>
          </w:p>
        </w:tc>
      </w:tr>
      <w:tr>
        <w:tc>
          <w:tcPr>
            <w:tcW w:type="dxa" w:w="1080"/>
          </w:tcPr>
          <w:p>
            <w:r>
              <w:t>Streaming</w:t>
            </w:r>
          </w:p>
        </w:tc>
        <w:tc>
          <w:tcPr>
            <w:tcW w:type="dxa" w:w="1080"/>
          </w:tcPr>
          <w:p>
            <w:r>
              <w:t>campaign_pulse_amplitude</w:t>
            </w:r>
          </w:p>
        </w:tc>
        <w:tc>
          <w:tcPr>
            <w:tcW w:type="dxa" w:w="1080"/>
          </w:tcPr>
          <w:p>
            <w:r>
              <w:t>0.1800</w:t>
            </w:r>
          </w:p>
        </w:tc>
        <w:tc>
          <w:tcPr>
            <w:tcW w:type="dxa" w:w="1080"/>
          </w:tcPr>
          <w:p>
            <w:r>
              <w:t>share</w:t>
            </w:r>
          </w:p>
        </w:tc>
        <w:tc>
          <w:tcPr>
            <w:tcW w:type="dxa" w:w="1080"/>
          </w:tcPr>
          <w:p>
            <w:r>
              <w:t>controllable</w:t>
            </w:r>
          </w:p>
        </w:tc>
        <w:tc>
          <w:tcPr>
            <w:tcW w:type="dxa" w:w="1080"/>
          </w:tcPr>
          <w:p>
            <w:r>
              <w:t>SRC09</w:t>
            </w:r>
          </w:p>
        </w:tc>
        <w:tc>
          <w:tcPr>
            <w:tcW w:type="dxa" w:w="1080"/>
          </w:tcPr>
          <w:p>
            <w:r>
              <w:t>growth</w:t>
            </w:r>
          </w:p>
        </w:tc>
        <w:tc>
          <w:tcPr>
            <w:tcW w:type="dxa" w:w="1080"/>
          </w:tcPr>
          <w:p>
            <w:r>
              <w:t>Acquisition pulse variability</w:t>
            </w:r>
          </w:p>
        </w:tc>
      </w:tr>
      <w:tr>
        <w:tc>
          <w:tcPr>
            <w:tcW w:type="dxa" w:w="1080"/>
          </w:tcPr>
          <w:p>
            <w:r>
              <w:t>Streaming</w:t>
            </w:r>
          </w:p>
        </w:tc>
        <w:tc>
          <w:tcPr>
            <w:tcW w:type="dxa" w:w="1080"/>
          </w:tcPr>
          <w:p>
            <w:r>
              <w:t>retention_intervention_lag_months</w:t>
            </w:r>
          </w:p>
        </w:tc>
        <w:tc>
          <w:tcPr>
            <w:tcW w:type="dxa" w:w="1080"/>
          </w:tcPr>
          <w:p>
            <w:r>
              <w:t>1</w:t>
            </w:r>
          </w:p>
        </w:tc>
        <w:tc>
          <w:tcPr>
            <w:tcW w:type="dxa" w:w="1080"/>
          </w:tcPr>
          <w:p>
            <w:r>
              <w:t>months</w:t>
            </w:r>
          </w:p>
        </w:tc>
        <w:tc>
          <w:tcPr>
            <w:tcW w:type="dxa" w:w="1080"/>
          </w:tcPr>
          <w:p>
            <w:r>
              <w:t>controllable</w:t>
            </w:r>
          </w:p>
        </w:tc>
        <w:tc>
          <w:tcPr>
            <w:tcW w:type="dxa" w:w="1080"/>
          </w:tcPr>
          <w:p>
            <w:r>
              <w:t>SRC09</w:t>
            </w:r>
          </w:p>
        </w:tc>
        <w:tc>
          <w:tcPr>
            <w:tcW w:type="dxa" w:w="1080"/>
          </w:tcPr>
          <w:p>
            <w:r>
              <w:t>growth</w:t>
            </w:r>
          </w:p>
        </w:tc>
        <w:tc>
          <w:tcPr>
            <w:tcW w:type="dxa" w:w="1080"/>
          </w:tcPr>
          <w:p>
            <w:r>
              <w:t>Delay before interventions affect churn</w:t>
            </w:r>
          </w:p>
        </w:tc>
      </w:tr>
      <w:tr>
        <w:tc>
          <w:tcPr>
            <w:tcW w:type="dxa" w:w="1080"/>
          </w:tcPr>
          <w:p>
            <w:r>
              <w:t>Streaming</w:t>
            </w:r>
          </w:p>
        </w:tc>
        <w:tc>
          <w:tcPr>
            <w:tcW w:type="dxa" w:w="1080"/>
          </w:tcPr>
          <w:p>
            <w:r>
              <w:t>gross_expansion_rate_base</w:t>
            </w:r>
          </w:p>
        </w:tc>
        <w:tc>
          <w:tcPr>
            <w:tcW w:type="dxa" w:w="1080"/>
          </w:tcPr>
          <w:p>
            <w:r>
              <w:t>0.0025</w:t>
            </w:r>
          </w:p>
        </w:tc>
        <w:tc>
          <w:tcPr>
            <w:tcW w:type="dxa" w:w="1080"/>
          </w:tcPr>
          <w:p>
            <w:r>
              <w:t>share monthly</w:t>
            </w:r>
          </w:p>
        </w:tc>
        <w:tc>
          <w:tcPr>
            <w:tcW w:type="dxa" w:w="1080"/>
          </w:tcPr>
          <w:p>
            <w:r>
              <w:t>derived</w:t>
            </w:r>
          </w:p>
        </w:tc>
        <w:tc>
          <w:tcPr>
            <w:tcW w:type="dxa" w:w="1080"/>
          </w:tcPr>
          <w:p>
            <w:r>
              <w:t>SRC05</w:t>
            </w:r>
          </w:p>
        </w:tc>
        <w:tc>
          <w:tcPr>
            <w:tcW w:type="dxa" w:w="1080"/>
          </w:tcPr>
          <w:p>
            <w:r>
              <w:t>strategy</w:t>
            </w:r>
          </w:p>
        </w:tc>
        <w:tc>
          <w:tcPr>
            <w:tcW w:type="dxa" w:w="1080"/>
          </w:tcPr>
          <w:p>
            <w:r>
              <w:t>Installed-base monetization beyond pure ARPU</w:t>
            </w:r>
          </w:p>
        </w:tc>
      </w:tr>
      <w:tr>
        <w:tc>
          <w:tcPr>
            <w:tcW w:type="dxa" w:w="1080"/>
          </w:tcPr>
          <w:p>
            <w:r>
              <w:t>Streaming</w:t>
            </w:r>
          </w:p>
        </w:tc>
        <w:tc>
          <w:tcPr>
            <w:tcW w:type="dxa" w:w="1080"/>
          </w:tcPr>
          <w:p>
            <w:r>
              <w:t>contraction_rate_base</w:t>
            </w:r>
          </w:p>
        </w:tc>
        <w:tc>
          <w:tcPr>
            <w:tcW w:type="dxa" w:w="1080"/>
          </w:tcPr>
          <w:p>
            <w:r>
              <w:t>0.0015</w:t>
            </w:r>
          </w:p>
        </w:tc>
        <w:tc>
          <w:tcPr>
            <w:tcW w:type="dxa" w:w="1080"/>
          </w:tcPr>
          <w:p>
            <w:r>
              <w:t>share monthly</w:t>
            </w:r>
          </w:p>
        </w:tc>
        <w:tc>
          <w:tcPr>
            <w:tcW w:type="dxa" w:w="1080"/>
          </w:tcPr>
          <w:p>
            <w:r>
              <w:t>derived</w:t>
            </w:r>
          </w:p>
        </w:tc>
        <w:tc>
          <w:tcPr>
            <w:tcW w:type="dxa" w:w="1080"/>
          </w:tcPr>
          <w:p>
            <w:r>
              <w:t>SRC08</w:t>
            </w:r>
          </w:p>
        </w:tc>
        <w:tc>
          <w:tcPr>
            <w:tcW w:type="dxa" w:w="1080"/>
          </w:tcPr>
          <w:p>
            <w:r>
              <w:t>strategy</w:t>
            </w:r>
          </w:p>
        </w:tc>
        <w:tc>
          <w:tcPr>
            <w:tcW w:type="dxa" w:w="1080"/>
          </w:tcPr>
          <w:p>
            <w:r>
              <w:t>Promo/downgrade dilution</w:t>
            </w:r>
          </w:p>
        </w:tc>
      </w:tr>
    </w:tbl>
    <w:p/>
    <w:p>
      <w:pPr>
        <w:pStyle w:val="Heading1"/>
      </w:pPr>
      <w:r>
        <w:t>Key Improvements from v3</w:t>
      </w:r>
    </w:p>
    <w:p>
      <w:pPr>
        <w:pStyle w:val="ListBullet"/>
      </w:pPr>
      <w:r>
        <w:t>Centralized assumptions and source traceability.</w:t>
      </w:r>
    </w:p>
    <w:p>
      <w:pPr>
        <w:pStyle w:val="ListBullet"/>
      </w:pPr>
      <w:r>
        <w:t>Added campaign pulse / recognition lag for acquisition.</w:t>
      </w:r>
    </w:p>
    <w:p>
      <w:pPr>
        <w:pStyle w:val="ListBullet"/>
      </w:pPr>
      <w:r>
        <w:t>Added failed-price and severe stress scenarios.</w:t>
      </w:r>
    </w:p>
    <w:p>
      <w:pPr>
        <w:pStyle w:val="ListBullet"/>
      </w:pPr>
      <w:r>
        <w:t>Expanded dominant-driver analysis and downside range communication.</w:t>
      </w:r>
    </w:p>
    <w:p>
      <w:pPr>
        <w:pStyle w:val="ListBullet"/>
      </w:pPr>
      <w:r>
        <w:t>Separated controllable, external, operational, and derived drivers.</w:t>
      </w:r>
    </w:p>
    <w:p>
      <w:pPr>
        <w:pStyle w:val="ListBullet"/>
      </w:pPr>
      <w:r>
        <w:t>Strengthened intended-use and uncertainty interpretation guidance.</w:t>
      </w:r>
    </w:p>
    <w:p>
      <w:pPr>
        <w:pStyle w:val="Heading1"/>
      </w:pPr>
      <w:r>
        <w:t>Base-Case and Scenario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Month24 ARR</w:t>
            </w:r>
          </w:p>
        </w:tc>
        <w:tc>
          <w:tcPr>
            <w:tcW w:type="dxa" w:w="1440"/>
          </w:tcPr>
          <w:p>
            <w:r>
              <w:rPr>
                <w:b/>
              </w:rPr>
              <w:t>Month24 Total MRR</w:t>
            </w:r>
          </w:p>
        </w:tc>
        <w:tc>
          <w:tcPr>
            <w:tcW w:type="dxa" w:w="1440"/>
          </w:tcPr>
          <w:p>
            <w:r>
              <w:rPr>
                <w:b/>
              </w:rPr>
              <w:t>Average Net Churn</w:t>
            </w:r>
          </w:p>
        </w:tc>
        <w:tc>
          <w:tcPr>
            <w:tcW w:type="dxa" w:w="1440"/>
          </w:tcPr>
          <w:p>
            <w:r>
              <w:rPr>
                <w:b/>
              </w:rPr>
              <w:t>Average Dampening</w:t>
            </w:r>
          </w:p>
        </w:tc>
        <w:tc>
          <w:tcPr>
            <w:tcW w:type="dxa" w:w="1440"/>
          </w:tcPr>
          <w:p>
            <w:r>
              <w:rPr>
                <w:b/>
              </w:rPr>
              <w:t>Min ARR</w:t>
            </w:r>
          </w:p>
        </w:tc>
      </w:tr>
      <w:tr>
        <w:tc>
          <w:tcPr>
            <w:tcW w:type="dxa" w:w="1440"/>
          </w:tcPr>
          <w:p>
            <w:r>
              <w:t>base</w:t>
            </w:r>
          </w:p>
        </w:tc>
        <w:tc>
          <w:tcPr>
            <w:tcW w:type="dxa" w:w="1440"/>
          </w:tcPr>
          <w:p>
            <w:r>
              <w:t>172,424.40</w:t>
            </w:r>
          </w:p>
        </w:tc>
        <w:tc>
          <w:tcPr>
            <w:tcW w:type="dxa" w:w="1440"/>
          </w:tcPr>
          <w:p>
            <w:r>
              <w:t>14,368.70</w:t>
            </w:r>
          </w:p>
        </w:tc>
        <w:tc>
          <w:tcPr>
            <w:tcW w:type="dxa" w:w="1440"/>
          </w:tcPr>
          <w:p>
            <w:r>
              <w:t>0.0236</w:t>
            </w:r>
          </w:p>
        </w:tc>
        <w:tc>
          <w:tcPr>
            <w:tcW w:type="dxa" w:w="1440"/>
          </w:tcPr>
          <w:p>
            <w:r>
              <w:t>0.3228</w:t>
            </w:r>
          </w:p>
        </w:tc>
        <w:tc>
          <w:tcPr>
            <w:tcW w:type="dxa" w:w="1440"/>
          </w:tcPr>
          <w:p>
            <w:r>
              <w:t>134,120.70</w:t>
            </w:r>
          </w:p>
        </w:tc>
      </w:tr>
      <w:tr>
        <w:tc>
          <w:tcPr>
            <w:tcW w:type="dxa" w:w="1440"/>
          </w:tcPr>
          <w:p>
            <w:r>
              <w:t>bull</w:t>
            </w:r>
          </w:p>
        </w:tc>
        <w:tc>
          <w:tcPr>
            <w:tcW w:type="dxa" w:w="1440"/>
          </w:tcPr>
          <w:p>
            <w:r>
              <w:t>187,148.06</w:t>
            </w:r>
          </w:p>
        </w:tc>
        <w:tc>
          <w:tcPr>
            <w:tcW w:type="dxa" w:w="1440"/>
          </w:tcPr>
          <w:p>
            <w:r>
              <w:t>15,595.67</w:t>
            </w:r>
          </w:p>
        </w:tc>
        <w:tc>
          <w:tcPr>
            <w:tcW w:type="dxa" w:w="1440"/>
          </w:tcPr>
          <w:p>
            <w:r>
              <w:t>0.0231</w:t>
            </w:r>
          </w:p>
        </w:tc>
        <w:tc>
          <w:tcPr>
            <w:tcW w:type="dxa" w:w="1440"/>
          </w:tcPr>
          <w:p>
            <w:r>
              <w:t>0.3206</w:t>
            </w:r>
          </w:p>
        </w:tc>
        <w:tc>
          <w:tcPr>
            <w:tcW w:type="dxa" w:w="1440"/>
          </w:tcPr>
          <w:p>
            <w:r>
              <w:t>136,318.46</w:t>
            </w:r>
          </w:p>
        </w:tc>
      </w:tr>
      <w:tr>
        <w:tc>
          <w:tcPr>
            <w:tcW w:type="dxa" w:w="1440"/>
          </w:tcPr>
          <w:p>
            <w:r>
              <w:t>recession</w:t>
            </w:r>
          </w:p>
        </w:tc>
        <w:tc>
          <w:tcPr>
            <w:tcW w:type="dxa" w:w="1440"/>
          </w:tcPr>
          <w:p>
            <w:r>
              <w:t>133,714.49</w:t>
            </w:r>
          </w:p>
        </w:tc>
        <w:tc>
          <w:tcPr>
            <w:tcW w:type="dxa" w:w="1440"/>
          </w:tcPr>
          <w:p>
            <w:r>
              <w:t>11,142.87</w:t>
            </w:r>
          </w:p>
        </w:tc>
        <w:tc>
          <w:tcPr>
            <w:tcW w:type="dxa" w:w="1440"/>
          </w:tcPr>
          <w:p>
            <w:r>
              <w:t>0.0270</w:t>
            </w:r>
          </w:p>
        </w:tc>
        <w:tc>
          <w:tcPr>
            <w:tcW w:type="dxa" w:w="1440"/>
          </w:tcPr>
          <w:p>
            <w:r>
              <w:t>0.3300</w:t>
            </w:r>
          </w:p>
        </w:tc>
        <w:tc>
          <w:tcPr>
            <w:tcW w:type="dxa" w:w="1440"/>
          </w:tcPr>
          <w:p>
            <w:r>
              <w:t>130,540.21</w:t>
            </w:r>
          </w:p>
        </w:tc>
      </w:tr>
      <w:tr>
        <w:tc>
          <w:tcPr>
            <w:tcW w:type="dxa" w:w="1440"/>
          </w:tcPr>
          <w:p>
            <w:r>
              <w:t>competition</w:t>
            </w:r>
          </w:p>
        </w:tc>
        <w:tc>
          <w:tcPr>
            <w:tcW w:type="dxa" w:w="1440"/>
          </w:tcPr>
          <w:p>
            <w:r>
              <w:t>139,214.45</w:t>
            </w:r>
          </w:p>
        </w:tc>
        <w:tc>
          <w:tcPr>
            <w:tcW w:type="dxa" w:w="1440"/>
          </w:tcPr>
          <w:p>
            <w:r>
              <w:t>11,601.20</w:t>
            </w:r>
          </w:p>
        </w:tc>
        <w:tc>
          <w:tcPr>
            <w:tcW w:type="dxa" w:w="1440"/>
          </w:tcPr>
          <w:p>
            <w:r>
              <w:t>0.0269</w:t>
            </w:r>
          </w:p>
        </w:tc>
        <w:tc>
          <w:tcPr>
            <w:tcW w:type="dxa" w:w="1440"/>
          </w:tcPr>
          <w:p>
            <w:r>
              <w:t>0.3290</w:t>
            </w:r>
          </w:p>
        </w:tc>
        <w:tc>
          <w:tcPr>
            <w:tcW w:type="dxa" w:w="1440"/>
          </w:tcPr>
          <w:p>
            <w:r>
              <w:t>132,049.28</w:t>
            </w:r>
          </w:p>
        </w:tc>
      </w:tr>
      <w:tr>
        <w:tc>
          <w:tcPr>
            <w:tcW w:type="dxa" w:w="1440"/>
          </w:tcPr>
          <w:p>
            <w:r>
              <w:t>saturation</w:t>
            </w:r>
          </w:p>
        </w:tc>
        <w:tc>
          <w:tcPr>
            <w:tcW w:type="dxa" w:w="1440"/>
          </w:tcPr>
          <w:p>
            <w:r>
              <w:t>131,180.61</w:t>
            </w:r>
          </w:p>
        </w:tc>
        <w:tc>
          <w:tcPr>
            <w:tcW w:type="dxa" w:w="1440"/>
          </w:tcPr>
          <w:p>
            <w:r>
              <w:t>10,931.72</w:t>
            </w:r>
          </w:p>
        </w:tc>
        <w:tc>
          <w:tcPr>
            <w:tcW w:type="dxa" w:w="1440"/>
          </w:tcPr>
          <w:p>
            <w:r>
              <w:t>0.0246</w:t>
            </w:r>
          </w:p>
        </w:tc>
        <w:tc>
          <w:tcPr>
            <w:tcW w:type="dxa" w:w="1440"/>
          </w:tcPr>
          <w:p>
            <w:r>
              <w:t>0.3332</w:t>
            </w:r>
          </w:p>
        </w:tc>
        <w:tc>
          <w:tcPr>
            <w:tcW w:type="dxa" w:w="1440"/>
          </w:tcPr>
          <w:p>
            <w:r>
              <w:t>130,594.96</w:t>
            </w:r>
          </w:p>
        </w:tc>
      </w:tr>
      <w:tr>
        <w:tc>
          <w:tcPr>
            <w:tcW w:type="dxa" w:w="1440"/>
          </w:tcPr>
          <w:p>
            <w:r>
              <w:t>failed_price</w:t>
            </w:r>
          </w:p>
        </w:tc>
        <w:tc>
          <w:tcPr>
            <w:tcW w:type="dxa" w:w="1440"/>
          </w:tcPr>
          <w:p>
            <w:r>
              <w:t>157,513.87</w:t>
            </w:r>
          </w:p>
        </w:tc>
        <w:tc>
          <w:tcPr>
            <w:tcW w:type="dxa" w:w="1440"/>
          </w:tcPr>
          <w:p>
            <w:r>
              <w:t>13,126.16</w:t>
            </w:r>
          </w:p>
        </w:tc>
        <w:tc>
          <w:tcPr>
            <w:tcW w:type="dxa" w:w="1440"/>
          </w:tcPr>
          <w:p>
            <w:r>
              <w:t>0.0242</w:t>
            </w:r>
          </w:p>
        </w:tc>
        <w:tc>
          <w:tcPr>
            <w:tcW w:type="dxa" w:w="1440"/>
          </w:tcPr>
          <w:p>
            <w:r>
              <w:t>0.3248</w:t>
            </w:r>
          </w:p>
        </w:tc>
        <w:tc>
          <w:tcPr>
            <w:tcW w:type="dxa" w:w="1440"/>
          </w:tcPr>
          <w:p>
            <w:r>
              <w:t>133,723.41</w:t>
            </w:r>
          </w:p>
        </w:tc>
      </w:tr>
      <w:tr>
        <w:tc>
          <w:tcPr>
            <w:tcW w:type="dxa" w:w="1440"/>
          </w:tcPr>
          <w:p>
            <w:r>
              <w:t>stress</w:t>
            </w:r>
          </w:p>
        </w:tc>
        <w:tc>
          <w:tcPr>
            <w:tcW w:type="dxa" w:w="1440"/>
          </w:tcPr>
          <w:p>
            <w:r>
              <w:t>98,922.08</w:t>
            </w:r>
          </w:p>
        </w:tc>
        <w:tc>
          <w:tcPr>
            <w:tcW w:type="dxa" w:w="1440"/>
          </w:tcPr>
          <w:p>
            <w:r>
              <w:t>8,243.51</w:t>
            </w:r>
          </w:p>
        </w:tc>
        <w:tc>
          <w:tcPr>
            <w:tcW w:type="dxa" w:w="1440"/>
          </w:tcPr>
          <w:p>
            <w:r>
              <w:t>0.0306</w:t>
            </w:r>
          </w:p>
        </w:tc>
        <w:tc>
          <w:tcPr>
            <w:tcW w:type="dxa" w:w="1440"/>
          </w:tcPr>
          <w:p>
            <w:r>
              <w:t>0.3389</w:t>
            </w:r>
          </w:p>
        </w:tc>
        <w:tc>
          <w:tcPr>
            <w:tcW w:type="dxa" w:w="1440"/>
          </w:tcPr>
          <w:p>
            <w:r>
              <w:t>98,922.08</w:t>
            </w:r>
          </w:p>
        </w:tc>
      </w:tr>
    </w:tbl>
    <w:p/>
    <w:p>
      <w:r>
        <w:drawing>
          <wp:inline xmlns:a="http://schemas.openxmlformats.org/drawingml/2006/main" xmlns:pic="http://schemas.openxmlformats.org/drawingml/2006/picture">
            <wp:extent cx="6217920" cy="3340076"/>
            <wp:docPr id="1" name="Picture 1"/>
            <wp:cNvGraphicFramePr>
              <a:graphicFrameLocks noChangeAspect="1"/>
            </wp:cNvGraphicFramePr>
            <a:graphic>
              <a:graphicData uri="http://schemas.openxmlformats.org/drawingml/2006/picture">
                <pic:pic>
                  <pic:nvPicPr>
                    <pic:cNvPr id="0" name="streaming_v4_scenarios.png"/>
                    <pic:cNvPicPr/>
                  </pic:nvPicPr>
                  <pic:blipFill>
                    <a:blip r:embed="rId10"/>
                    <a:stretch>
                      <a:fillRect/>
                    </a:stretch>
                  </pic:blipFill>
                  <pic:spPr>
                    <a:xfrm>
                      <a:off x="0" y="0"/>
                      <a:ext cx="6217920" cy="3340076"/>
                    </a:xfrm>
                    <a:prstGeom prst="rect"/>
                  </pic:spPr>
                </pic:pic>
              </a:graphicData>
            </a:graphic>
          </wp:inline>
        </w:drawing>
      </w:r>
    </w:p>
    <w:p>
      <w:r>
        <w:t>Figure 1. Streaming v4 ARR paths under full rerun scenarios.</w:t>
      </w:r>
    </w:p>
    <w:p>
      <w:pPr>
        <w:pStyle w:val="Heading1"/>
      </w:pPr>
      <w:r>
        <w:t>Dominant Drivers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Driver Test</w:t>
            </w:r>
          </w:p>
        </w:tc>
        <w:tc>
          <w:tcPr>
            <w:tcW w:type="dxa" w:w="2160"/>
          </w:tcPr>
          <w:p>
            <w:r>
              <w:rPr>
                <w:b/>
              </w:rPr>
              <w:t>Month24 ARR</w:t>
            </w:r>
          </w:p>
        </w:tc>
        <w:tc>
          <w:tcPr>
            <w:tcW w:type="dxa" w:w="2160"/>
          </w:tcPr>
          <w:p>
            <w:r>
              <w:rPr>
                <w:b/>
              </w:rPr>
              <w:t>Delta vs Base</w:t>
            </w:r>
          </w:p>
        </w:tc>
        <w:tc>
          <w:tcPr>
            <w:tcW w:type="dxa" w:w="2160"/>
          </w:tcPr>
          <w:p>
            <w:r>
              <w:rPr>
                <w:b/>
              </w:rPr>
              <w:t>Abs Delta</w:t>
            </w:r>
          </w:p>
        </w:tc>
      </w:tr>
      <w:tr>
        <w:tc>
          <w:tcPr>
            <w:tcW w:type="dxa" w:w="2160"/>
          </w:tcPr>
          <w:p>
            <w:r>
              <w:t>Stress regime</w:t>
            </w:r>
          </w:p>
        </w:tc>
        <w:tc>
          <w:tcPr>
            <w:tcW w:type="dxa" w:w="2160"/>
          </w:tcPr>
          <w:p>
            <w:r>
              <w:t>98,922.08</w:t>
            </w:r>
          </w:p>
        </w:tc>
        <w:tc>
          <w:tcPr>
            <w:tcW w:type="dxa" w:w="2160"/>
          </w:tcPr>
          <w:p>
            <w:r>
              <w:t>-73,502.32</w:t>
            </w:r>
          </w:p>
        </w:tc>
        <w:tc>
          <w:tcPr>
            <w:tcW w:type="dxa" w:w="2160"/>
          </w:tcPr>
          <w:p>
            <w:r>
              <w:t>73,502.32</w:t>
            </w:r>
          </w:p>
        </w:tc>
      </w:tr>
      <w:tr>
        <w:tc>
          <w:tcPr>
            <w:tcW w:type="dxa" w:w="2160"/>
          </w:tcPr>
          <w:p>
            <w:r>
              <w:t>Competition shock</w:t>
            </w:r>
          </w:p>
        </w:tc>
        <w:tc>
          <w:tcPr>
            <w:tcW w:type="dxa" w:w="2160"/>
          </w:tcPr>
          <w:p>
            <w:r>
              <w:t>139,214.45</w:t>
            </w:r>
          </w:p>
        </w:tc>
        <w:tc>
          <w:tcPr>
            <w:tcW w:type="dxa" w:w="2160"/>
          </w:tcPr>
          <w:p>
            <w:r>
              <w:t>-33,209.95</w:t>
            </w:r>
          </w:p>
        </w:tc>
        <w:tc>
          <w:tcPr>
            <w:tcW w:type="dxa" w:w="2160"/>
          </w:tcPr>
          <w:p>
            <w:r>
              <w:t>33,209.95</w:t>
            </w:r>
          </w:p>
        </w:tc>
      </w:tr>
      <w:tr>
        <w:tc>
          <w:tcPr>
            <w:tcW w:type="dxa" w:w="2160"/>
          </w:tcPr>
          <w:p>
            <w:r>
              <w:t>Price growth -200bps</w:t>
            </w:r>
          </w:p>
        </w:tc>
        <w:tc>
          <w:tcPr>
            <w:tcW w:type="dxa" w:w="2160"/>
          </w:tcPr>
          <w:p>
            <w:r>
              <w:t>157,513.87</w:t>
            </w:r>
          </w:p>
        </w:tc>
        <w:tc>
          <w:tcPr>
            <w:tcW w:type="dxa" w:w="2160"/>
          </w:tcPr>
          <w:p>
            <w:r>
              <w:t>-14,910.53</w:t>
            </w:r>
          </w:p>
        </w:tc>
        <w:tc>
          <w:tcPr>
            <w:tcW w:type="dxa" w:w="2160"/>
          </w:tcPr>
          <w:p>
            <w:r>
              <w:t>14,910.53</w:t>
            </w:r>
          </w:p>
        </w:tc>
      </w:tr>
      <w:tr>
        <w:tc>
          <w:tcPr>
            <w:tcW w:type="dxa" w:w="2160"/>
          </w:tcPr>
          <w:p>
            <w:r>
              <w:t>Billing leakage +20%</w:t>
            </w:r>
          </w:p>
        </w:tc>
        <w:tc>
          <w:tcPr>
            <w:tcW w:type="dxa" w:w="2160"/>
          </w:tcPr>
          <w:p>
            <w:r>
              <w:t>172,424.40</w:t>
            </w:r>
          </w:p>
        </w:tc>
        <w:tc>
          <w:tcPr>
            <w:tcW w:type="dxa" w:w="2160"/>
          </w:tcPr>
          <w:p>
            <w:r>
              <w:t>0</w:t>
            </w:r>
          </w:p>
        </w:tc>
        <w:tc>
          <w:tcPr>
            <w:tcW w:type="dxa" w:w="2160"/>
          </w:tcPr>
          <w:p>
            <w:r>
              <w:t>0</w:t>
            </w:r>
          </w:p>
        </w:tc>
      </w:tr>
      <w:tr>
        <w:tc>
          <w:tcPr>
            <w:tcW w:type="dxa" w:w="2160"/>
          </w:tcPr>
          <w:p>
            <w:r>
              <w:t>Acquisition rate -20%</w:t>
            </w:r>
          </w:p>
        </w:tc>
        <w:tc>
          <w:tcPr>
            <w:tcW w:type="dxa" w:w="2160"/>
          </w:tcPr>
          <w:p>
            <w:r>
              <w:t>172,424.40</w:t>
            </w:r>
          </w:p>
        </w:tc>
        <w:tc>
          <w:tcPr>
            <w:tcW w:type="dxa" w:w="2160"/>
          </w:tcPr>
          <w:p>
            <w:r>
              <w:t>0</w:t>
            </w:r>
          </w:p>
        </w:tc>
        <w:tc>
          <w:tcPr>
            <w:tcW w:type="dxa" w:w="2160"/>
          </w:tcPr>
          <w:p>
            <w:r>
              <w:t>0</w:t>
            </w:r>
          </w:p>
        </w:tc>
      </w:tr>
    </w:tbl>
    <w:p/>
    <w:p>
      <w:r>
        <w:drawing>
          <wp:inline xmlns:a="http://schemas.openxmlformats.org/drawingml/2006/main" xmlns:pic="http://schemas.openxmlformats.org/drawingml/2006/picture">
            <wp:extent cx="6217920" cy="3671616"/>
            <wp:docPr id="2" name="Picture 2"/>
            <wp:cNvGraphicFramePr>
              <a:graphicFrameLocks noChangeAspect="1"/>
            </wp:cNvGraphicFramePr>
            <a:graphic>
              <a:graphicData uri="http://schemas.openxmlformats.org/drawingml/2006/picture">
                <pic:pic>
                  <pic:nvPicPr>
                    <pic:cNvPr id="0" name="streaming_v4_driver_tornado.png"/>
                    <pic:cNvPicPr/>
                  </pic:nvPicPr>
                  <pic:blipFill>
                    <a:blip r:embed="rId11"/>
                    <a:stretch>
                      <a:fillRect/>
                    </a:stretch>
                  </pic:blipFill>
                  <pic:spPr>
                    <a:xfrm>
                      <a:off x="0" y="0"/>
                      <a:ext cx="6217920" cy="3671616"/>
                    </a:xfrm>
                    <a:prstGeom prst="rect"/>
                  </pic:spPr>
                </pic:pic>
              </a:graphicData>
            </a:graphic>
          </wp:inline>
        </w:drawing>
      </w:r>
    </w:p>
    <w:p>
      <w:r>
        <w:t>Figure 2. Streaming dominant-driver ranking.</w:t>
      </w:r>
    </w:p>
    <w:p>
      <w:pPr>
        <w:pStyle w:val="Heading1"/>
      </w:pPr>
      <w:r>
        <w:t>Uncertainty and Interpretation</w:t>
      </w:r>
    </w:p>
    <w:p>
      <w:r>
        <w:t>Headline outputs should always be interpreted together with scenario ranges. The stress, recession, competition, and failed-price scenarios are decision-relevant because they show how quickly ARR can compress when acquisition weakens, pricing underperforms, and churn pressure rises. The dashboard and workbook are designed to discourage deterministic use of the base case alone.</w:t>
      </w:r>
    </w:p>
    <w:p>
      <w:pPr>
        <w:pStyle w:val="Heading1"/>
      </w:pPr>
      <w:r>
        <w:t>Risk Disclosure and Remaining Limitations</w:t>
      </w:r>
    </w:p>
    <w:p>
      <w:pPr>
        <w:pStyle w:val="ListBullet"/>
      </w:pPr>
      <w:r>
        <w:t>Streaming CAC remains excluded because public-source support is still insufficient.</w:t>
      </w:r>
    </w:p>
    <w:p>
      <w:pPr>
        <w:pStyle w:val="ListBullet"/>
      </w:pPr>
      <w:r>
        <w:t>Streaming margin is also excluded rather than guessed.</w:t>
      </w:r>
    </w:p>
    <w:p>
      <w:pPr>
        <w:pStyle w:val="ListBullet"/>
      </w:pPr>
      <w:r>
        <w:t>Market capacity is still a planning guardrail, not a TAM study.</w:t>
      </w:r>
    </w:p>
    <w:p>
      <w:pPr>
        <w:pStyle w:val="ListBullet"/>
      </w:pPr>
      <w:r>
        <w:t>Voluntary reactivation is sourced + interpolated; involuntary recovery remains derived from sourced aggregate evidence.</w:t>
      </w:r>
    </w:p>
    <w:p>
      <w:pPr>
        <w:pStyle w:val="ListBullet"/>
      </w:pPr>
      <w:r>
        <w:t>Months 13-24 are directionally useful but less reliable than months 1-12.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