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Audit Response and Corrections</w:t>
        <w:br/>
      </w:r>
      <w:r>
        <w:rPr>
          <w:sz w:val="24"/>
        </w:rPr>
        <w:t>Response to 17 critical audit findings</w:t>
      </w:r>
    </w:p>
    <w:p>
      <w:r>
        <w:t>Updated confidence scores: Streaming 79/100; SaaS 76/100; Overall 78/100</w:t>
      </w:r>
    </w:p>
    <w:p>
      <w:r>
        <w:t>This document maps each audit issue to the implemented correction, explains what changed, and records which metrics were excluded for confidence reasons.</w:t>
      </w:r>
    </w:p>
    <w:p>
      <w:pPr>
        <w:pStyle w:val="Heading2"/>
      </w:pPr>
      <w:r>
        <w:t>Issue-by-Issue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Audit 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Circular CLV/CAC construction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SaaS CAC now calculated independently from new-customer CAC ratio; CLV calculated from churn, margin, ARPA, and discounting; ratio is output with simulation interval.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Constant acquisition rate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Both models use dynamic acquisition tied to benchmark growth, seasonality, and maturity/saturation effects.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Billing leakage uncertainty undisclosed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Leakage now disclosed as 2% / 4.59% / 8% low-base-high scenarios with derivation shown.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ARPU averaging weak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Streaming ARPU now uses subscriber-weighted average and documents simple-average comparison.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Expansion disconnected from installed base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Expansion now applies to retained/reactivated installed base in both models.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Reactivation not segmented by churn type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Voluntary and involuntary churn pools use different recovery curves.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No feedback loops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Churn now affects CAC in SaaS; expansion improves retention; reactivation pools deplete over time.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Static churn rate regardless of mix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New, retained, and reactivated cohorts carry different churn rates.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Seat factor non-functional</w:t>
            </w:r>
          </w:p>
        </w:tc>
        <w:tc>
          <w:tcPr>
            <w:tcW w:type="dxa" w:w="2160"/>
          </w:tcPr>
          <w:p>
            <w:r>
              <w:t>Fixed by exclusion</w:t>
            </w:r>
          </w:p>
        </w:tc>
        <w:tc>
          <w:tcPr>
            <w:tcW w:type="dxa" w:w="2160"/>
          </w:tcPr>
          <w:p>
            <w:r>
              <w:t>Removed due to insufficient confidence; exclusion disclosed.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Beginning subscribers unexplained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Streaming beginning subscribers derived from rate-card MRR / weighted ARPU; SaaS beginning customers derived from ARR-band archetype / ARPA.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Churn sensitivity not quantified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Scenario tables for low/base/high churn and downstream metrics included.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Reactivation dampening nonlinear effect unquantified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Reactivation dampening percentage is now tracked monthly and summarized.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Expansion insensitive to dynamics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Expansion now responds to installed base composition and business maturity.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Multi-cycle reactivation not addressed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Repeat churn pools and repeat-reactivation logic added.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Truncated reactivation windows</w:t>
            </w:r>
          </w:p>
        </w:tc>
        <w:tc>
          <w:tcPr>
            <w:tcW w:type="dxa" w:w="2160"/>
          </w:tcPr>
          <w:p>
            <w:r>
              <w:t>Fixed with limitation note</w:t>
            </w:r>
          </w:p>
        </w:tc>
        <w:tc>
          <w:tcPr>
            <w:tcW w:type="dxa" w:w="2160"/>
          </w:tcPr>
          <w:p>
            <w:r>
              <w:t>Forecast extended to 24 months and tail reactivation reserve disclosed for unresolved windows.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No contraction / downgrade modeling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Streaming promotional dilution and SaaS contraction ARR now explicitly modeled.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No pricing sensitivity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Dynamic ARPU/ARPA with price growth and promo periods added; scenarios include pricing variation.</w:t>
            </w:r>
          </w:p>
        </w:tc>
      </w:tr>
    </w:tbl>
    <w:p/>
    <w:p>
      <w:pPr>
        <w:pStyle w:val="Heading1"/>
      </w:pPr>
      <w:r>
        <w:t>What Changed in the Model</w:t>
      </w:r>
    </w:p>
    <w:p>
      <w:pPr>
        <w:pStyle w:val="ListBullet"/>
      </w:pPr>
      <w:r>
        <w:t>The old blended architecture was replaced by two separate domain-specific models.</w:t>
      </w:r>
    </w:p>
    <w:p>
      <w:pPr>
        <w:pStyle w:val="ListBullet"/>
      </w:pPr>
      <w:r>
        <w:t>CLV/CAC is no longer circular in SaaS; CAC is independent and CLV is an output from margin and retention dynamics.</w:t>
      </w:r>
    </w:p>
    <w:p>
      <w:pPr>
        <w:pStyle w:val="ListBullet"/>
      </w:pPr>
      <w:r>
        <w:t>Streaming ARPU now uses subscriber weighting and leakage uncertainty is fully disclosed.</w:t>
      </w:r>
    </w:p>
    <w:p>
      <w:pPr>
        <w:pStyle w:val="ListBullet"/>
      </w:pPr>
      <w:r>
        <w:t>Both models now use installed-base expansion and explicit contraction logic.</w:t>
      </w:r>
    </w:p>
    <w:p>
      <w:pPr>
        <w:pStyle w:val="ListBullet"/>
      </w:pPr>
      <w:r>
        <w:t>Dynamic churn, reactivation segmentation, repeat churner tracking, and 24-month horizon fix the largest state-transition weaknesses.</w:t>
      </w:r>
    </w:p>
    <w:p>
      <w:pPr>
        <w:pStyle w:val="ListBullet"/>
      </w:pPr>
      <w:r>
        <w:t>Unsupported metrics were excluded instead of being left as weak placeholders.</w:t>
      </w:r>
    </w:p>
    <w:p>
      <w:pPr>
        <w:pStyle w:val="Heading1"/>
      </w:pPr>
      <w:r>
        <w:t>Confidence Score Justification</w:t>
      </w:r>
    </w:p>
    <w:p>
      <w:r>
        <w:t>The confidence scores are materially lower than the previously claimed 88/100 because the corrected evaluation is stricter and more realistic. Confidence improved in structural integrity and transparency, but remains constrained by the fact that both models are benchmark-calibrated and public-source-based rather than built from first-party operating data. Excluding weak metrics also prevents overstatement.</w:t>
      </w:r>
    </w:p>
    <w:p>
      <w:r>
        <w:t>Streaming confidence (79/100) is higher than SaaS because beginning subscribers and monetization can be linked more directly to observed rate-card MRR and operator ARPU disclosures. SaaS confidence (76/100) remains solid but lower because the model is archetypal and depends more heavily on benchmark normalization for customer count, ARPA, and CAC.</w:t>
      </w:r>
    </w:p>
    <w:p>
      <w:pPr>
        <w:pStyle w:val="Heading1"/>
      </w:pPr>
      <w:r>
        <w:t>Exclusions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Streaming CAC</w:t>
            </w:r>
          </w:p>
        </w:tc>
        <w:tc>
          <w:tcPr>
            <w:tcW w:type="dxa" w:w="2880"/>
          </w:tcPr>
          <w:p>
            <w:r>
              <w:t>Excluded</w:t>
            </w:r>
          </w:p>
        </w:tc>
        <w:tc>
          <w:tcPr>
            <w:tcW w:type="dxa" w:w="2880"/>
          </w:tcPr>
          <w:p>
            <w:r>
              <w:t>Public-source support was not strong enough to estimate company-specific streaming CAC defensibly without reintroducing circularity.</w:t>
            </w:r>
          </w:p>
        </w:tc>
      </w:tr>
      <w:tr>
        <w:tc>
          <w:tcPr>
            <w:tcW w:type="dxa" w:w="2880"/>
          </w:tcPr>
          <w:p>
            <w:r>
              <w:t>Seats / licenses / users factor</w:t>
            </w:r>
          </w:p>
        </w:tc>
        <w:tc>
          <w:tcPr>
            <w:tcW w:type="dxa" w:w="2880"/>
          </w:tcPr>
          <w:p>
            <w:r>
              <w:t>Excluded</w:t>
            </w:r>
          </w:p>
        </w:tc>
        <w:tc>
          <w:tcPr>
            <w:tcW w:type="dxa" w:w="2880"/>
          </w:tcPr>
          <w:p>
            <w:r>
              <w:t>No sufficiently defensible public-source dynamic was available for a shared seat-style KPI across both domains.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