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FDF6" w14:textId="6C95CE52" w:rsidR="00731432" w:rsidRPr="00731432" w:rsidRDefault="00731432" w:rsidP="00731432">
      <w:pPr>
        <w:spacing w:before="100" w:beforeAutospacing="1" w:after="100" w:afterAutospacing="1"/>
        <w:rPr>
          <w:rFonts w:ascii="Microsoft YaHei" w:eastAsia="Microsoft YaHei" w:hAnsi="Microsoft YaHei" w:cs="Times New Roman"/>
          <w:color w:val="000000"/>
          <w:kern w:val="0"/>
          <w:sz w:val="22"/>
          <w:szCs w:val="22"/>
          <w14:ligatures w14:val="none"/>
        </w:rPr>
      </w:pPr>
      <w:r w:rsidRPr="00731432">
        <w:rPr>
          <w:rFonts w:ascii="Microsoft YaHei" w:eastAsia="Microsoft YaHei" w:hAnsi="Microsoft YaHei" w:cs="Times New Roman"/>
          <w:color w:val="000000"/>
          <w:kern w:val="0"/>
          <w:sz w:val="22"/>
          <w:szCs w:val="22"/>
          <w14:ligatures w14:val="none"/>
        </w:rPr>
        <w:fldChar w:fldCharType="begin"/>
      </w:r>
      <w:r w:rsidRPr="00731432">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Containers/UBF8T346G9.ms/WebArchiveCopyPasteTempFiles/com.microsoft.Word/SKTedtech_360.png" \* MERGEFORMATINET </w:instrText>
      </w:r>
      <w:r w:rsidRPr="00731432">
        <w:rPr>
          <w:rFonts w:ascii="Microsoft YaHei" w:eastAsia="Microsoft YaHei" w:hAnsi="Microsoft YaHei" w:cs="Times New Roman"/>
          <w:color w:val="000000"/>
          <w:kern w:val="0"/>
          <w:sz w:val="22"/>
          <w:szCs w:val="22"/>
          <w14:ligatures w14:val="none"/>
        </w:rPr>
        <w:fldChar w:fldCharType="separate"/>
      </w:r>
      <w:r w:rsidRPr="00731432">
        <w:rPr>
          <w:rFonts w:ascii="Microsoft YaHei" w:eastAsia="Microsoft YaHei" w:hAnsi="Microsoft YaHei" w:cs="Times New Roman"/>
          <w:noProof/>
          <w:color w:val="000000"/>
          <w:kern w:val="0"/>
          <w:sz w:val="22"/>
          <w:szCs w:val="22"/>
          <w14:ligatures w14:val="none"/>
        </w:rPr>
        <w:drawing>
          <wp:inline distT="0" distB="0" distL="0" distR="0" wp14:anchorId="60F16357" wp14:editId="4C1A5657">
            <wp:extent cx="1903730" cy="809625"/>
            <wp:effectExtent l="0" t="0" r="1270" b="0"/>
            <wp:docPr id="58204485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4859" name="Picture 1"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731432">
        <w:rPr>
          <w:rFonts w:ascii="Microsoft YaHei" w:eastAsia="Microsoft YaHei" w:hAnsi="Microsoft YaHei" w:cs="Times New Roman"/>
          <w:color w:val="000000"/>
          <w:kern w:val="0"/>
          <w:sz w:val="22"/>
          <w:szCs w:val="22"/>
          <w14:ligatures w14:val="none"/>
        </w:rPr>
        <w:fldChar w:fldCharType="end"/>
      </w:r>
    </w:p>
    <w:p w14:paraId="01279BCA" w14:textId="77777777" w:rsidR="00731432" w:rsidRPr="00731432" w:rsidRDefault="00731432" w:rsidP="00731432">
      <w:pPr>
        <w:spacing w:before="100" w:beforeAutospacing="1" w:after="100" w:afterAutospacing="1"/>
        <w:outlineLvl w:val="0"/>
        <w:rPr>
          <w:rFonts w:ascii="Microsoft YaHei" w:eastAsia="Microsoft YaHei" w:hAnsi="Microsoft YaHei" w:cs="Times New Roman" w:hint="eastAsia"/>
          <w:b/>
          <w:bCs/>
          <w:color w:val="000000"/>
          <w:kern w:val="36"/>
          <w:sz w:val="36"/>
          <w:szCs w:val="36"/>
          <w14:ligatures w14:val="none"/>
        </w:rPr>
      </w:pPr>
      <w:r w:rsidRPr="00731432">
        <w:rPr>
          <w:rFonts w:ascii="Microsoft YaHei" w:eastAsia="Microsoft YaHei" w:hAnsi="Microsoft YaHei" w:cs="Times New Roman" w:hint="eastAsia"/>
          <w:b/>
          <w:bCs/>
          <w:color w:val="000000"/>
          <w:kern w:val="36"/>
          <w:sz w:val="36"/>
          <w:szCs w:val="36"/>
          <w14:ligatures w14:val="none"/>
        </w:rPr>
        <w:t>Transparency and Interpretability</w:t>
      </w:r>
    </w:p>
    <w:p w14:paraId="67904A8E"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Objectives</w:t>
      </w:r>
    </w:p>
    <w:p w14:paraId="25890FF1"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After completing this reading, you will be able to:</w:t>
      </w:r>
    </w:p>
    <w:p w14:paraId="16355424" w14:textId="77777777" w:rsidR="00731432" w:rsidRPr="00731432" w:rsidRDefault="00731432" w:rsidP="00731432">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Explore the importance of transparency and interpretability in generative AI</w:t>
      </w:r>
    </w:p>
    <w:p w14:paraId="16E9966A" w14:textId="77777777" w:rsidR="00731432" w:rsidRPr="00731432" w:rsidRDefault="00731432" w:rsidP="00731432">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Explain the challenges associated with achieving them</w:t>
      </w:r>
    </w:p>
    <w:p w14:paraId="1A3C0FDD" w14:textId="77777777" w:rsidR="00731432" w:rsidRPr="00731432" w:rsidRDefault="00731432" w:rsidP="00731432">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Explore the best practices to enhance transparency and interpretability</w:t>
      </w:r>
    </w:p>
    <w:p w14:paraId="0D396356"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Introduction</w:t>
      </w:r>
    </w:p>
    <w:p w14:paraId="6DA489BF"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As generative AI becomes more embedded in business intelligence (BI) systems, the need for transparency and interpretability in AI models has significantly increased. These elements are essential for building trust, ensuring accountability, and making informed decisions based on AI-generated insights.</w:t>
      </w:r>
    </w:p>
    <w:p w14:paraId="5C45445E"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Importance of transparency and interpretability</w:t>
      </w:r>
    </w:p>
    <w:p w14:paraId="685CBE36"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Building trust</w:t>
      </w:r>
    </w:p>
    <w:p w14:paraId="48FA0551"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Transparency and interpretability are essential for establishing trust in AI systems. Users need to understand how AI models reach their conclusions to trust and rely on their outputs, especially in business intelligence (BI), where decisions can have a significant impact on business.</w:t>
      </w:r>
    </w:p>
    <w:p w14:paraId="3AAADD40"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Ensuring accountability</w:t>
      </w:r>
    </w:p>
    <w:p w14:paraId="47F6BE82"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Interpretability enables organizations to hold AI systems accountable for their decisions. Clear explanations for predictions help identify and correct errors or biases, ensuring the models align with business goals and ethical standards.</w:t>
      </w:r>
    </w:p>
    <w:p w14:paraId="5FF76E65"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lastRenderedPageBreak/>
        <w:t>Enhancing decision making</w:t>
      </w:r>
    </w:p>
    <w:p w14:paraId="32530B7C"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Transparent and interpretable AI models enhance decision making by providing stakeholders with a clear understanding of the factors influencing AI-driven insights. This allows users to make more informed and confident decisions based on the rationale behind AI recommendations.</w:t>
      </w:r>
    </w:p>
    <w:p w14:paraId="36EC5203"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Regulatory compliance</w:t>
      </w:r>
    </w:p>
    <w:p w14:paraId="23131F3F"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Many industries are subject to regulations requiring transparency and explainability in AI systems. For instance, the General Data Protection Regulation (GDPR) in the European Union mandates that individuals have the right to an explanation of decisions made by automated systems. Compliance necessitates interpretable AI models.</w:t>
      </w:r>
    </w:p>
    <w:p w14:paraId="2FA28BC7"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Challenges in Achieving Transparency and Interpretability in AI Models</w:t>
      </w:r>
    </w:p>
    <w:p w14:paraId="09D92D9C"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Complexity of AI models</w:t>
      </w:r>
    </w:p>
    <w:p w14:paraId="6BB764C1"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AI models, particularly deep learning models, are often complex and function as "black boxes." This complexity makes their decision-making processes difficult for humans to understand, hindering transparency.</w:t>
      </w:r>
    </w:p>
    <w:p w14:paraId="75A12AF5"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Accuracy vs. interpretability</w:t>
      </w:r>
    </w:p>
    <w:p w14:paraId="42F9F9F5"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There's a common trade-off between accuracy and interpretability in AI models. Highly accurate models, like deep neural networks, are usually less interpretable. In contrast, simpler models, such as linear regression, are more interpretable but may fail to capture complex data patterns.</w:t>
      </w:r>
    </w:p>
    <w:p w14:paraId="0AF6F6B6"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Diverse needs of stakeholders</w:t>
      </w:r>
    </w:p>
    <w:p w14:paraId="3F635B44"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Different stakeholders require varying levels of interpretability based on their expertise and needs. Data scientists may need detailed model explanations, while business executives might prefer high-level insights. Meeting these diverse needs can be challenging.</w:t>
      </w:r>
    </w:p>
    <w:p w14:paraId="61B10D8D"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Strategies for Enhancing Transparency and Interpretability of AI Models</w:t>
      </w:r>
    </w:p>
    <w:p w14:paraId="6061CFDC"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lastRenderedPageBreak/>
        <w:t>Model documentation</w:t>
      </w:r>
    </w:p>
    <w:p w14:paraId="23700B82"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Documenting AI models thoroughly is crucial. This includes detailing the development process, underlying assumptions, and limitations. Such documentation helps users understand the context of AI models and the reasoning behind their design.</w:t>
      </w:r>
    </w:p>
    <w:p w14:paraId="1C7632E0"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Use of Explainable AI (XAI) Techniques</w:t>
      </w:r>
    </w:p>
    <w:p w14:paraId="7D8A7B23"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To enhance AI model interpretability, several techniques and tools have been developed:</w:t>
      </w:r>
    </w:p>
    <w:p w14:paraId="44A2DDA8"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LIME (Local Interpretable Model-agnostic Explanations):</w:t>
      </w:r>
      <w:r w:rsidRPr="00731432">
        <w:rPr>
          <w:rFonts w:ascii="Microsoft YaHei" w:eastAsia="Microsoft YaHei" w:hAnsi="Microsoft YaHei" w:cs="Times New Roman" w:hint="eastAsia"/>
          <w:color w:val="000000"/>
          <w:kern w:val="0"/>
          <w:sz w:val="22"/>
          <w:szCs w:val="22"/>
          <w14:ligatures w14:val="none"/>
        </w:rPr>
        <w:t> Explains individual predictions by approximating the complex model with an interpretable one.</w:t>
      </w:r>
    </w:p>
    <w:p w14:paraId="371E5E1C"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SHAP (</w:t>
      </w:r>
      <w:proofErr w:type="spellStart"/>
      <w:r w:rsidRPr="00731432">
        <w:rPr>
          <w:rFonts w:ascii="Microsoft YaHei" w:eastAsia="Microsoft YaHei" w:hAnsi="Microsoft YaHei" w:cs="Times New Roman" w:hint="eastAsia"/>
          <w:b/>
          <w:bCs/>
          <w:color w:val="000000"/>
          <w:kern w:val="0"/>
          <w:sz w:val="22"/>
          <w:szCs w:val="22"/>
          <w14:ligatures w14:val="none"/>
        </w:rPr>
        <w:t>SHapley</w:t>
      </w:r>
      <w:proofErr w:type="spellEnd"/>
      <w:r w:rsidRPr="00731432">
        <w:rPr>
          <w:rFonts w:ascii="Microsoft YaHei" w:eastAsia="Microsoft YaHei" w:hAnsi="Microsoft YaHei" w:cs="Times New Roman" w:hint="eastAsia"/>
          <w:b/>
          <w:bCs/>
          <w:color w:val="000000"/>
          <w:kern w:val="0"/>
          <w:sz w:val="22"/>
          <w:szCs w:val="22"/>
          <w14:ligatures w14:val="none"/>
        </w:rPr>
        <w:t xml:space="preserve"> Additive </w:t>
      </w:r>
      <w:proofErr w:type="spellStart"/>
      <w:r w:rsidRPr="00731432">
        <w:rPr>
          <w:rFonts w:ascii="Microsoft YaHei" w:eastAsia="Microsoft YaHei" w:hAnsi="Microsoft YaHei" w:cs="Times New Roman" w:hint="eastAsia"/>
          <w:b/>
          <w:bCs/>
          <w:color w:val="000000"/>
          <w:kern w:val="0"/>
          <w:sz w:val="22"/>
          <w:szCs w:val="22"/>
          <w14:ligatures w14:val="none"/>
        </w:rPr>
        <w:t>exPlanations</w:t>
      </w:r>
      <w:proofErr w:type="spellEnd"/>
      <w:r w:rsidRPr="00731432">
        <w:rPr>
          <w:rFonts w:ascii="Microsoft YaHei" w:eastAsia="Microsoft YaHei" w:hAnsi="Microsoft YaHei" w:cs="Times New Roman" w:hint="eastAsia"/>
          <w:b/>
          <w:bCs/>
          <w:color w:val="000000"/>
          <w:kern w:val="0"/>
          <w:sz w:val="22"/>
          <w:szCs w:val="22"/>
          <w14:ligatures w14:val="none"/>
        </w:rPr>
        <w:t>):</w:t>
      </w:r>
      <w:r w:rsidRPr="00731432">
        <w:rPr>
          <w:rFonts w:ascii="Microsoft YaHei" w:eastAsia="Microsoft YaHei" w:hAnsi="Microsoft YaHei" w:cs="Times New Roman" w:hint="eastAsia"/>
          <w:color w:val="000000"/>
          <w:kern w:val="0"/>
          <w:sz w:val="22"/>
          <w:szCs w:val="22"/>
          <w14:ligatures w14:val="none"/>
        </w:rPr>
        <w:t> Provides a unified measure of feature importance, explaining each feature's contribution to the model's predictions.</w:t>
      </w:r>
    </w:p>
    <w:p w14:paraId="230D171D"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Simpler Models for Interpretability</w:t>
      </w:r>
    </w:p>
    <w:p w14:paraId="483C7D31"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Sometimes, using simpler models can benefit transparency. Decision trees, linear regression, and rule-based models are inherently more interpretable and should be considered when transparency is a priority.</w:t>
      </w:r>
    </w:p>
    <w:p w14:paraId="539B897B"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Visual Explanations</w:t>
      </w:r>
    </w:p>
    <w:p w14:paraId="10F614DE"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Visualizations can make complex model outputs more understandable. Techniques like feature importance plots, partial dependence plots, and heatmaps help users see how different features influence model predictions.</w:t>
      </w:r>
    </w:p>
    <w:p w14:paraId="4B8B52AD"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Iterative Feedback and Validation</w:t>
      </w:r>
    </w:p>
    <w:p w14:paraId="3AEFA25F"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Engaging stakeholders through iterative feedback and validation during the model development process ensures that models meet interpretability needs. Regular updates based on stakeholder input can also improve transparency.</w:t>
      </w:r>
    </w:p>
    <w:p w14:paraId="1634E317"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AI Model Monitoring and Interpretability Tools</w:t>
      </w:r>
    </w:p>
    <w:p w14:paraId="05F8B543"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 xml:space="preserve">IBM Watson </w:t>
      </w:r>
      <w:proofErr w:type="spellStart"/>
      <w:r w:rsidRPr="00731432">
        <w:rPr>
          <w:rFonts w:ascii="Microsoft YaHei" w:eastAsia="Microsoft YaHei" w:hAnsi="Microsoft YaHei" w:cs="Times New Roman" w:hint="eastAsia"/>
          <w:b/>
          <w:bCs/>
          <w:color w:val="000000"/>
          <w:kern w:val="0"/>
          <w:sz w:val="22"/>
          <w:szCs w:val="22"/>
          <w14:ligatures w14:val="none"/>
        </w:rPr>
        <w:t>OpenScale</w:t>
      </w:r>
      <w:proofErr w:type="spellEnd"/>
    </w:p>
    <w:p w14:paraId="314E7EE4"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lastRenderedPageBreak/>
        <w:t xml:space="preserve">IBM Watson </w:t>
      </w:r>
      <w:proofErr w:type="spellStart"/>
      <w:r w:rsidRPr="00731432">
        <w:rPr>
          <w:rFonts w:ascii="Microsoft YaHei" w:eastAsia="Microsoft YaHei" w:hAnsi="Microsoft YaHei" w:cs="Times New Roman" w:hint="eastAsia"/>
          <w:color w:val="000000"/>
          <w:kern w:val="0"/>
          <w:sz w:val="22"/>
          <w:szCs w:val="22"/>
          <w14:ligatures w14:val="none"/>
        </w:rPr>
        <w:t>OpenScale</w:t>
      </w:r>
      <w:proofErr w:type="spellEnd"/>
      <w:r w:rsidRPr="00731432">
        <w:rPr>
          <w:rFonts w:ascii="Microsoft YaHei" w:eastAsia="Microsoft YaHei" w:hAnsi="Microsoft YaHei" w:cs="Times New Roman" w:hint="eastAsia"/>
          <w:color w:val="000000"/>
          <w:kern w:val="0"/>
          <w:sz w:val="22"/>
          <w:szCs w:val="22"/>
          <w14:ligatures w14:val="none"/>
        </w:rPr>
        <w:t xml:space="preserve"> offers tools for monitoring and managing AI models, focusing on tracking bias and explainability. It ensures AI models are transparent and fair and helps businesses maintain accountability.</w:t>
      </w:r>
    </w:p>
    <w:p w14:paraId="2B66C978"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AI Explainability 360</w:t>
      </w:r>
    </w:p>
    <w:p w14:paraId="214BD5DD"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AI Explainability 360 is an open-source toolkit designed to enhance the transparency of machine learning models. It provides insights into individual predictions and overall model behavior, helping to identify errors, biases, and fairness issues. This transparency builds trust and confidence in AI systems, making them more reliable and understandable.</w:t>
      </w:r>
    </w:p>
    <w:p w14:paraId="75584DE2"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Microsoft Azure Machine Learning</w:t>
      </w:r>
    </w:p>
    <w:p w14:paraId="57B0C5B2"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Microsoft Azure Machine Learning provides interpretability features such as feature importance, model prediction explanations, and fairness assessment tools. These features enhance users’ understanding and trust in their AI models.</w:t>
      </w:r>
    </w:p>
    <w:p w14:paraId="339D1B67"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Google AI Explainable AI</w:t>
      </w:r>
    </w:p>
    <w:p w14:paraId="2D30FAD0"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Google AI's Explainable AI tools offer model prediction explanations and bias identification. Integrated into Google Cloud's AI services, they simplify the creation of interpretable models for businesses.</w:t>
      </w:r>
    </w:p>
    <w:p w14:paraId="4B12C079"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H2O.ai</w:t>
      </w:r>
    </w:p>
    <w:p w14:paraId="296EC3AA"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 xml:space="preserve">H2O.ai's </w:t>
      </w:r>
      <w:proofErr w:type="spellStart"/>
      <w:r w:rsidRPr="00731432">
        <w:rPr>
          <w:rFonts w:ascii="Microsoft YaHei" w:eastAsia="Microsoft YaHei" w:hAnsi="Microsoft YaHei" w:cs="Times New Roman" w:hint="eastAsia"/>
          <w:color w:val="000000"/>
          <w:kern w:val="0"/>
          <w:sz w:val="22"/>
          <w:szCs w:val="22"/>
          <w14:ligatures w14:val="none"/>
        </w:rPr>
        <w:t>AutoML</w:t>
      </w:r>
      <w:proofErr w:type="spellEnd"/>
      <w:r w:rsidRPr="00731432">
        <w:rPr>
          <w:rFonts w:ascii="Microsoft YaHei" w:eastAsia="Microsoft YaHei" w:hAnsi="Microsoft YaHei" w:cs="Times New Roman" w:hint="eastAsia"/>
          <w:color w:val="000000"/>
          <w:kern w:val="0"/>
          <w:sz w:val="22"/>
          <w:szCs w:val="22"/>
          <w14:ligatures w14:val="none"/>
        </w:rPr>
        <w:t xml:space="preserve"> platform includes interpretability tools like LIME and SHAP. These tools help users understand the predictions made by complex machine-learning models.</w:t>
      </w:r>
    </w:p>
    <w:p w14:paraId="19552534"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b/>
          <w:bCs/>
          <w:color w:val="000000"/>
          <w:kern w:val="0"/>
          <w:sz w:val="22"/>
          <w:szCs w:val="22"/>
          <w14:ligatures w14:val="none"/>
        </w:rPr>
        <w:t>Summary</w:t>
      </w:r>
    </w:p>
    <w:p w14:paraId="72810A90" w14:textId="77777777" w:rsidR="00731432" w:rsidRPr="00731432" w:rsidRDefault="00731432" w:rsidP="00731432">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In this reading, you learned that:</w:t>
      </w:r>
    </w:p>
    <w:p w14:paraId="5B7F2BE0" w14:textId="77777777" w:rsidR="00731432" w:rsidRPr="00731432" w:rsidRDefault="00731432" w:rsidP="00731432">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Transparency and interpretability are crucial for effective and ethical AI deployment in business intelligence as they:</w:t>
      </w:r>
    </w:p>
    <w:p w14:paraId="38C30A11"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Build trust and ensure accountability.</w:t>
      </w:r>
    </w:p>
    <w:p w14:paraId="2D65F1EA"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Enhance decision-making.</w:t>
      </w:r>
    </w:p>
    <w:p w14:paraId="3AFE5947"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lastRenderedPageBreak/>
        <w:t>Help organizations comply with regulations.</w:t>
      </w:r>
    </w:p>
    <w:p w14:paraId="4AB3C645" w14:textId="77777777" w:rsidR="00731432" w:rsidRPr="00731432" w:rsidRDefault="00731432" w:rsidP="00731432">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Achieving transparency and interpretability in complex AI models can be challenging, but several best practices and tools can help:</w:t>
      </w:r>
    </w:p>
    <w:p w14:paraId="6DCA17DC"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Adopt explainable AI techniques.</w:t>
      </w:r>
    </w:p>
    <w:p w14:paraId="7D02481B"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Use simpler models when appropriate.</w:t>
      </w:r>
    </w:p>
    <w:p w14:paraId="5B95374E" w14:textId="77777777" w:rsidR="00731432" w:rsidRPr="00731432" w:rsidRDefault="00731432" w:rsidP="00731432">
      <w:pPr>
        <w:numPr>
          <w:ilvl w:val="1"/>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Engage stakeholders throughout the process.</w:t>
      </w:r>
    </w:p>
    <w:p w14:paraId="0677A326" w14:textId="77777777" w:rsidR="00731432" w:rsidRPr="00731432" w:rsidRDefault="00731432" w:rsidP="00731432">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731432">
        <w:rPr>
          <w:rFonts w:ascii="Microsoft YaHei" w:eastAsia="Microsoft YaHei" w:hAnsi="Microsoft YaHei" w:cs="Times New Roman" w:hint="eastAsia"/>
          <w:color w:val="000000"/>
          <w:kern w:val="0"/>
          <w:sz w:val="22"/>
          <w:szCs w:val="22"/>
          <w14:ligatures w14:val="none"/>
        </w:rPr>
        <w:t>By following these practices, businesses can create transparent and interpretable AI systems that drive better business outcomes.</w:t>
      </w:r>
    </w:p>
    <w:p w14:paraId="69CA7D5E" w14:textId="77777777" w:rsidR="006B3604" w:rsidRPr="00731432" w:rsidRDefault="006B3604">
      <w:pPr>
        <w:rPr>
          <w:sz w:val="22"/>
          <w:szCs w:val="22"/>
        </w:rPr>
      </w:pPr>
    </w:p>
    <w:sectPr w:rsidR="006B3604" w:rsidRPr="00731432"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E9F"/>
    <w:multiLevelType w:val="multilevel"/>
    <w:tmpl w:val="491E7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D1171"/>
    <w:multiLevelType w:val="multilevel"/>
    <w:tmpl w:val="A24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94943">
    <w:abstractNumId w:val="1"/>
  </w:num>
  <w:num w:numId="2" w16cid:durableId="155912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32"/>
    <w:rsid w:val="00260C82"/>
    <w:rsid w:val="002E007E"/>
    <w:rsid w:val="003808E6"/>
    <w:rsid w:val="004B2793"/>
    <w:rsid w:val="005B6D11"/>
    <w:rsid w:val="006B3604"/>
    <w:rsid w:val="006D4891"/>
    <w:rsid w:val="00731432"/>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51063"/>
  <w15:chartTrackingRefBased/>
  <w15:docId w15:val="{2125A59A-5F46-C446-A947-5826314C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32"/>
    <w:rPr>
      <w:rFonts w:eastAsiaTheme="majorEastAsia" w:cstheme="majorBidi"/>
      <w:color w:val="272727" w:themeColor="text1" w:themeTint="D8"/>
    </w:rPr>
  </w:style>
  <w:style w:type="paragraph" w:styleId="Title">
    <w:name w:val="Title"/>
    <w:basedOn w:val="Normal"/>
    <w:next w:val="Normal"/>
    <w:link w:val="TitleChar"/>
    <w:uiPriority w:val="10"/>
    <w:qFormat/>
    <w:rsid w:val="007314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1432"/>
    <w:rPr>
      <w:i/>
      <w:iCs/>
      <w:color w:val="404040" w:themeColor="text1" w:themeTint="BF"/>
    </w:rPr>
  </w:style>
  <w:style w:type="paragraph" w:styleId="ListParagraph">
    <w:name w:val="List Paragraph"/>
    <w:basedOn w:val="Normal"/>
    <w:uiPriority w:val="34"/>
    <w:qFormat/>
    <w:rsid w:val="00731432"/>
    <w:pPr>
      <w:ind w:left="720"/>
      <w:contextualSpacing/>
    </w:pPr>
  </w:style>
  <w:style w:type="character" w:styleId="IntenseEmphasis">
    <w:name w:val="Intense Emphasis"/>
    <w:basedOn w:val="DefaultParagraphFont"/>
    <w:uiPriority w:val="21"/>
    <w:qFormat/>
    <w:rsid w:val="00731432"/>
    <w:rPr>
      <w:i/>
      <w:iCs/>
      <w:color w:val="0F4761" w:themeColor="accent1" w:themeShade="BF"/>
    </w:rPr>
  </w:style>
  <w:style w:type="paragraph" w:styleId="IntenseQuote">
    <w:name w:val="Intense Quote"/>
    <w:basedOn w:val="Normal"/>
    <w:next w:val="Normal"/>
    <w:link w:val="IntenseQuoteChar"/>
    <w:uiPriority w:val="30"/>
    <w:qFormat/>
    <w:rsid w:val="00731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32"/>
    <w:rPr>
      <w:i/>
      <w:iCs/>
      <w:color w:val="0F4761" w:themeColor="accent1" w:themeShade="BF"/>
    </w:rPr>
  </w:style>
  <w:style w:type="character" w:styleId="IntenseReference">
    <w:name w:val="Intense Reference"/>
    <w:basedOn w:val="DefaultParagraphFont"/>
    <w:uiPriority w:val="32"/>
    <w:qFormat/>
    <w:rsid w:val="00731432"/>
    <w:rPr>
      <w:b/>
      <w:bCs/>
      <w:smallCaps/>
      <w:color w:val="0F4761" w:themeColor="accent1" w:themeShade="BF"/>
      <w:spacing w:val="5"/>
    </w:rPr>
  </w:style>
  <w:style w:type="paragraph" w:styleId="NormalWeb">
    <w:name w:val="Normal (Web)"/>
    <w:basedOn w:val="Normal"/>
    <w:uiPriority w:val="99"/>
    <w:semiHidden/>
    <w:unhideWhenUsed/>
    <w:rsid w:val="0073143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1432"/>
    <w:rPr>
      <w:b/>
      <w:bCs/>
    </w:rPr>
  </w:style>
  <w:style w:type="character" w:customStyle="1" w:styleId="apple-converted-space">
    <w:name w:val="apple-converted-space"/>
    <w:basedOn w:val="DefaultParagraphFont"/>
    <w:rsid w:val="00731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00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1052</Words>
  <Characters>5390</Characters>
  <Application>Microsoft Office Word</Application>
  <DocSecurity>0</DocSecurity>
  <Lines>114</Lines>
  <Paragraphs>15</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2025-02-07T04:31:00Z</dcterms:created>
  <dcterms:modified xsi:type="dcterms:W3CDTF">2025-02-07T04:32:00Z</dcterms:modified>
</cp:coreProperties>
</file>