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left"/>
      </w:pPr>
      <w:r>
        <w:rPr>
          <w:rFonts w:ascii="PingFang SC" w:hAnsi="PingFang SC" w:eastAsia="PingFang SC"/>
          <w:b/>
          <w:color w:val="111827"/>
          <w:sz w:val="44"/>
        </w:rPr>
        <w:t>Java 阅读范围讨论稿</w:t>
      </w:r>
    </w:p>
    <w:p>
      <w:pPr>
        <w:spacing w:after="280" w:line="276" w:lineRule="auto"/>
      </w:pPr>
      <w:r>
        <w:rPr>
          <w:rFonts w:ascii="PingFang SC" w:hAnsi="PingFang SC" w:eastAsia="PingFang SC"/>
          <w:color w:val="64748B"/>
          <w:sz w:val="20"/>
        </w:rPr>
        <w:t>需求输入模拟件 · 文档 ID SRC-DOCX-01</w:t>
      </w:r>
    </w:p>
    <w:p>
      <w:pPr>
        <w:spacing w:after="80" w:line="276" w:lineRule="auto"/>
      </w:pPr>
      <w:r>
        <w:rPr>
          <w:rFonts w:ascii="PingFang SC" w:hAnsi="PingFang SC" w:eastAsia="PingFang SC"/>
          <w:b w:val="0"/>
          <w:color w:val="1F2933"/>
          <w:sz w:val="21"/>
        </w:rPr>
        <w:t>本文用于验证附件文字、段落和范围条件的解析结果。文中内容是模拟测试材料，未获用户确认。</w:t>
      </w:r>
    </w:p>
    <w:p>
      <w:pPr>
        <w:spacing w:after="200" w:line="276" w:lineRule="auto"/>
      </w:pPr>
      <w:r>
        <w:rPr>
          <w:rFonts w:ascii="PingFang SC" w:hAnsi="PingFang SC" w:eastAsia="PingFang SC"/>
          <w:b/>
          <w:color w:val="7C2D12"/>
          <w:sz w:val="21"/>
        </w:rPr>
        <w:t>这不是现行业务规则。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vAlign w:val="center"/>
            <w:shd w:fill="EEF3F8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after="0" w:line="264" w:lineRule="auto"/>
            </w:pPr>
            <w:r>
              <w:rPr>
                <w:rFonts w:ascii="PingFang SC" w:hAnsi="PingFang SC" w:eastAsia="PingFang SC"/>
                <w:b/>
                <w:color w:val="173A5E"/>
                <w:sz w:val="21"/>
              </w:rPr>
              <w:t>模拟范围建议：</w:t>
            </w:r>
            <w:r>
              <w:rPr>
                <w:rFonts w:ascii="PingFang SC" w:hAnsi="PingFang SC" w:eastAsia="PingFang SC"/>
                <w:color w:val="173A5E"/>
                <w:sz w:val="21"/>
              </w:rPr>
              <w:t>首期仅文件阅读、定义和引用；写入/重命名应用需单独确认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172B4D"/>
          <w:sz w:val="30"/>
        </w:rPr>
        <w:t>范围建议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color w:val="1F2933"/>
          <w:sz w:val="21"/>
        </w:rPr>
        <w:t>首期支持在锁定的 Workspace Root 内阅读文件。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color w:val="1F2933"/>
          <w:sz w:val="21"/>
        </w:rPr>
        <w:t>首期支持 Java 定义和引用查询，结果可为零条或多条。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color w:val="1F2933"/>
          <w:sz w:val="21"/>
        </w:rPr>
        <w:t>文件写入、重命名和一键应用需要单独确认。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color w:val="1F2933"/>
          <w:sz w:val="21"/>
        </w:rPr>
        <w:t>外部依赖目录按只读方式展示，不把依赖修改纳入本模拟范围。</w:t>
      </w:r>
    </w:p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172B4D"/>
          <w:sz w:val="30"/>
        </w:rPr>
        <w:t>异常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color w:val="1F2933"/>
          <w:sz w:val="21"/>
        </w:rPr>
        <w:t>索引未就绪：显示等待状态，并允许稍后重试。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color w:val="1F2933"/>
          <w:sz w:val="21"/>
        </w:rPr>
        <w:t>JDK 缺失：保留文件阅读，明确提示 Java 语义服务不可用。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color w:val="1F2933"/>
          <w:sz w:val="21"/>
        </w:rPr>
        <w:t>跳转零结果或多结果：显示可解释的结果状态，不自动猜选目标。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color w:val="1F2933"/>
          <w:sz w:val="21"/>
        </w:rPr>
        <w:t>外部依赖只读：允许查看来源，不提供写入入口。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172B4D"/>
          <w:sz w:val="30"/>
        </w:rPr>
        <w:t>待确认事项</w:t>
      </w:r>
    </w:p>
    <w:p>
      <w:pPr>
        <w:spacing w:after="160" w:line="276" w:lineRule="auto"/>
      </w:pPr>
      <w:r>
        <w:rPr>
          <w:rFonts w:ascii="PingFang SC" w:hAnsi="PingFang SC" w:eastAsia="PingFang SC"/>
          <w:b w:val="0"/>
          <w:color w:val="1F2933"/>
          <w:sz w:val="21"/>
        </w:rPr>
        <w:t>以下问题保持未决，仅用于测试解析器对条件、范围和确认状态的识别。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color w:val="1F2933"/>
          <w:sz w:val="21"/>
        </w:rPr>
        <w:t>是否将文件阅读、定义和引用列为首期交付范围。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color w:val="1F2933"/>
          <w:sz w:val="21"/>
        </w:rPr>
        <w:t>写入和重命名是否始终要求独立确认。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color w:val="1F2933"/>
          <w:sz w:val="21"/>
        </w:rPr>
        <w:t>索引未就绪、JDK 缺失和零/多结果是否使用统一错误文案。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color w:val="1F2933"/>
          <w:sz w:val="21"/>
        </w:rPr>
        <w:t>外部依赖是否只允许只读访问。</w:t>
      </w:r>
    </w:p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172B4D"/>
          <w:sz w:val="30"/>
        </w:rPr>
        <w:t>边界说明</w:t>
      </w:r>
    </w:p>
    <w:p>
      <w:pPr>
        <w:spacing w:after="160" w:line="276" w:lineRule="auto"/>
      </w:pPr>
      <w:r>
        <w:rPr>
          <w:rFonts w:ascii="PingFang SC" w:hAnsi="PingFang SC" w:eastAsia="PingFang SC"/>
          <w:b w:val="0"/>
          <w:color w:val="1F2933"/>
          <w:sz w:val="21"/>
        </w:rPr>
        <w:t>模拟范围建议不代表现行业务规则，不代表已经批准的产品行为，也不代表系统已经支持这些能力。</w:t>
      </w:r>
    </w:p>
    <w:p>
      <w:pPr>
        <w:spacing w:after="80" w:line="276" w:lineRule="auto"/>
      </w:pPr>
      <w:r>
        <w:rPr>
          <w:rFonts w:ascii="PingFang SC" w:hAnsi="PingFang SC" w:eastAsia="PingFang SC"/>
          <w:b/>
          <w:color w:val="7C2D12"/>
          <w:sz w:val="21"/>
        </w:rPr>
        <w:t>状态：pending。用户确认后，需求方应另行记录确认内容和后续变更。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76" w:lineRule="auto"/>
      <w:jc w:val="center"/>
    </w:pPr>
    <w:r>
      <w:rPr>
        <w:rFonts w:ascii="PingFang SC" w:hAnsi="PingFang SC" w:eastAsia="PingFang SC"/>
        <w:color w:val="64748B"/>
        <w:sz w:val="16"/>
      </w:rPr>
      <w:t>SRC-DOCX-01  |  模拟测试材料｜未获用户确认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76" w:lineRule="auto"/>
      <w:jc w:val="right"/>
    </w:pPr>
    <w:r>
      <w:rPr>
        <w:rFonts w:ascii="PingFang SC" w:hAnsi="PingFang SC" w:eastAsia="PingFang SC"/>
        <w:color w:val="64748B"/>
        <w:sz w:val="17"/>
      </w:rPr>
      <w:t>模拟测试材料｜未获用户确认  ·  SRC-DOCX-01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