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txt" ContentType="text/plain"/>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Agent Team Workbench</w:t>
      </w:r>
    </w:p>
    <w:p w14:paraId="0000000A">
      <w:pPr>
        <w:pStyle w:val="Title"/>
        <w:spacing w:line="240" w:lineRule="auto"/>
        <w:rPr>
          <w:rFonts w:ascii="Helvetica Neue" w:cs="Helvetica Neue" w:eastAsia="Helvetica Neue" w:hAnsi="Helvetica Neue"/>
          <w:sz w:val="72"/>
          <w:szCs w:val="72"/>
        </w:rPr>
      </w:pPr>
      <w:r>
        <w:rPr>
          <w:rFonts w:ascii="Noto Sans SC" w:cs="Noto Sans SC" w:eastAsia="Noto Sans SC" w:hAnsi="Noto Sans SC"/>
          <w:sz w:val="72"/>
          <w:szCs w:val="72"/>
          <w:rtl w:val="0"/>
          <w:lang w:eastAsia="zh-CN"/>
        </w:rPr>
        <w:t>可插拔 Runtime Web 工作台</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spacing w:before="0" w:after="0" w:line="20" w:lineRule="exact"/>
      </w:pPr>
      <w:r>
        <w:rPr>
          <w:rtl w:val="0"/>
        </w:rPr>
      </w:r>
    </w:p>
    <w:p w14:paraId="00000014">
      <w:pPr>
        <w:rPr>
          <w:rFonts w:ascii="Helvetica Neue" w:cs="Helvetica Neue" w:eastAsia="Helvetica Neue" w:hAnsi="Helvetica Neue"/>
        </w:rPr>
        <w:spacing w:before="0" w:after="0" w:line="20" w:lineRule="exact"/>
      </w:pPr>
      <w:r>
        <w:rPr>
          <w:rtl w:val="0"/>
        </w:rPr>
      </w:r>
    </w:p>
    <w:tbl>
      <w:tblPr>
        <w:tblStyle w:val="Table1"/>
        <w:tblW w:w="10400" w:type="dxa"/>
        <w:jc w:val="center"/>
        <w:tblLayout w:type="fixed"/>
        <w:tblLook w:val="0600"/>
        <w:tblInd w:type="dxa" w:w="12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tcW w:type="dxa" w:w="3200"/>
            <w:tcMar>
              <w:top w:type="dxa" w:w="80"/>
              <w:bottom w:type="dxa" w:w="80"/>
              <w:start w:type="dxa" w:w="120"/>
              <w:end w:type="dxa" w:w="120"/>
            </w:tcMar>
          </w:tcPr>
          <w:p w14:paraId="00000015">
            <w:pPr>
              <w:pStyle w:val="Heading3"/>
              <w:rPr/>
            </w:pPr>
            <w:r>
              <w:rPr>
                <w:rFonts/>
                <w:rtl w:val="0"/>
              </w:rPr>
              <w:t>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p>
        </w:tc>
        <w:tc>
          <w:tcPr>
            <w:tcW w:type="dxa" w:w="400"/>
            <w:tcMar>
              <w:top w:type="dxa" w:w="80"/>
              <w:bottom w:type="dxa" w:w="80"/>
              <w:start w:type="dxa" w:w="120"/>
              <w:end w:type="dxa" w:w="120"/>
            </w:tcMar>
          </w:tcPr>
          <w:p w14:paraId="00000017">
            <w:pPr>
              <w:rPr>
                <w:rFonts w:ascii="Helvetica Neue" w:cs="Helvetica Neue" w:eastAsia="Helvetica Neue" w:hAnsi="Helvetica Neue"/>
              </w:rPr>
            </w:pPr>
            <w:r>
              <w:rPr>
                <w:rtl w:val="0"/>
              </w:rPr>
            </w:r>
          </w:p>
        </w:tc>
        <w:tc>
          <w:tcPr>
            <w:tcW w:type="dxa" w:w="3200"/>
            <w:tcMar>
              <w:top w:type="dxa" w:w="80"/>
              <w:bottom w:type="dxa" w:w="80"/>
              <w:start w:type="dxa" w:w="120"/>
              <w:end w:type="dxa" w:w="120"/>
            </w:tcMar>
          </w:tcPr>
          <w:p w14:paraId="00000018">
            <w:pPr>
              <w:pStyle w:val="Heading3"/>
              <w:rPr/>
            </w:pPr>
            <w:r>
              <w:rPr>
                <w:rFonts/>
                <w:rtl w:val="0"/>
              </w:rPr>
              <w:t>OWNER</w:t>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Architecture / Platform (TBD)</w:t>
            </w:r>
          </w:p>
        </w:tc>
        <w:tc>
          <w:tcPr>
            <w:tcW w:type="dxa" w:w="400"/>
            <w:tcMar>
              <w:top w:type="dxa" w:w="80"/>
              <w:bottom w:type="dxa" w:w="80"/>
              <w:start w:type="dxa" w:w="120"/>
              <w:end w:type="dxa" w:w="120"/>
            </w:tcMar>
          </w:tcPr>
          <w:p w14:paraId="0000001A">
            <w:pPr>
              <w:rPr>
                <w:rFonts w:ascii="Helvetica Neue" w:cs="Helvetica Neue" w:eastAsia="Helvetica Neue" w:hAnsi="Helvetica Neue"/>
              </w:rPr>
            </w:pPr>
            <w:r>
              <w:rPr>
                <w:rtl w:val="0"/>
              </w:rPr>
            </w:r>
          </w:p>
        </w:tc>
        <w:tc>
          <w:tcPr>
            <w:tcW w:type="dxa" w:w="3200"/>
            <w:tcMar>
              <w:top w:type="dxa" w:w="80"/>
              <w:bottom w:type="dxa" w:w="80"/>
              <w:start w:type="dxa" w:w="120"/>
              <w:end w:type="dxa" w:w="120"/>
            </w:tcMar>
          </w:tcPr>
          <w:p w14:paraId="0000001B">
            <w:pPr>
              <w:pStyle w:val="Heading3"/>
              <w:rPr/>
            </w:pPr>
            <w:r>
              <w:rPr>
                <w:rFonts/>
                <w:rtl w:val="0"/>
              </w:rPr>
              <w:t>LAST UPDATED</w:t>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August 21, 2026</w:t>
            </w:r>
          </w:p>
        </w:tc>
      </w:tr>
    </w:tbl>
    <w:p w14:paraId="0000001D">
      <w:pPr>
        <w:spacing w:after="110" w:line="300" w:lineRule="auto"/>
        <w:rPr>
          <w:rFonts w:ascii="Helvetica Neue" w:cs="Helvetica Neue" w:eastAsia="Helvetica Neue" w:hAnsi="Helvetica Neue"/>
        </w:rPr>
      </w:pPr>
      <w:r>
        <w:rPr>
          <w:rtl w:val="0"/>
        </w:rPr>
      </w:r>
    </w:p>
    <w:tbl>
      <w:tblPr>
        <w:tblStyle w:val="Table2"/>
        <w:tblW w:w="10155"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Ind w:type="dxa" w:w="120"/>
      </w:tblPr>
      <w:tblGrid>
        <w:gridCol w:w="1815"/>
        <w:gridCol w:w="8340"/>
        <w:tblGridChange w:id="0">
          <w:tblGrid>
            <w:gridCol w:w="1815"/>
            <w:gridCol w:w="8340"/>
          </w:tblGrid>
        </w:tblGridChange>
      </w:tblGrid>
      <w:tr>
        <w:trPr>
          <w:cantSplit w:val="1"/>
          <w:tblHeader w:val="0"/>
        </w:trPr>
        <w:tc>
          <w:tcPr>
            <w:shd w:fill="cfe2f3" w:val="clear"/>
            <w:tcMar>
              <w:top w:w="80" w:type="dxa"/>
              <w:left w:w="120.0" w:type="dxa"/>
              <w:bottom w:w="80" w:type="dxa"/>
              <w:right w:w="120.0" w:type="dxa"/>
              <w:start w:type="dxa" w:w="120"/>
              <w:end w:type="dxa" w:w="120"/>
            </w:tcMar>
            <w:vAlign w:val="center"/>
            <w:tcW w:type="dxa" w:w="1815"/>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p>
        </w:tc>
        <w:tc>
          <w:tcPr>
            <w:tcBorders>
              <w:top w:color="ffffff" w:space="0" w:sz="8" w:val="single"/>
              <w:bottom w:color="ffffff" w:space="0" w:sz="8" w:val="single"/>
              <w:right w:color="ffffff" w:space="0" w:sz="8" w:val="single"/>
            </w:tcBorders>
            <w:shd w:fill="f6f9fc" w:val="clear"/>
            <w:tcMar>
              <w:top w:w="80" w:type="dxa"/>
              <w:left w:w="120.0" w:type="dxa"/>
              <w:bottom w:w="80" w:type="dxa"/>
              <w:right w:w="120.0" w:type="dxa"/>
              <w:start w:type="dxa" w:w="120"/>
              <w:end w:type="dxa" w:w="120"/>
            </w:tcMar>
            <w:vAlign w:val="center"/>
            <w:tcW w:type="dxa" w:w="8340"/>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Codex draft; product owner TBD</w:t>
            </w:r>
          </w:p>
        </w:tc>
      </w:tr>
      <w:tr>
        <w:trPr>
          <w:cantSplit w:val="1"/>
          <w:trHeight w:val="404.3103027343749" w:hRule="atLeast"/>
          <w:tblHeader w:val="0"/>
        </w:trPr>
        <w:tc>
          <w:tcPr>
            <w:shd w:fill="cfe2f3" w:val="clear"/>
            <w:tcMar>
              <w:top w:w="80" w:type="dxa"/>
              <w:left w:w="120.0" w:type="dxa"/>
              <w:bottom w:w="80" w:type="dxa"/>
              <w:right w:w="120.0" w:type="dxa"/>
              <w:start w:type="dxa" w:w="120"/>
              <w:end w:type="dxa" w:w="120"/>
            </w:tcMar>
            <w:vAlign w:val="center"/>
            <w:tcW w:type="dxa" w:w="1815"/>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p>
        </w:tc>
        <w:tc>
          <w:tcPr>
            <w:tcBorders>
              <w:top w:color="ffffff" w:space="0" w:sz="8" w:val="single"/>
              <w:bottom w:color="ffffff" w:space="0" w:sz="8" w:val="single"/>
              <w:right w:color="ffffff" w:space="0" w:sz="8" w:val="single"/>
            </w:tcBorders>
            <w:shd w:fill="f6f9fc" w:val="clear"/>
            <w:tcMar>
              <w:top w:w="80" w:type="dxa"/>
              <w:left w:w="120.0" w:type="dxa"/>
              <w:bottom w:w="80" w:type="dxa"/>
              <w:right w:w="120.0" w:type="dxa"/>
              <w:start w:type="dxa" w:w="120"/>
              <w:end w:type="dxa" w:w="120"/>
            </w:tcMar>
            <w:vAlign w:val="center"/>
            <w:tcW w:type="dxa" w:w="8340"/>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 / Architecture / Security / Frontend (TBD)</w:t>
            </w:r>
          </w:p>
        </w:tc>
      </w:tr>
      <w:tr>
        <w:trPr>
          <w:cantSplit w:val="1"/>
          <w:tblHeader w:val="0"/>
        </w:trPr>
        <w:tc>
          <w:tcPr>
            <w:shd w:fill="cfe2f3" w:val="clear"/>
            <w:tcMar>
              <w:top w:w="80" w:type="dxa"/>
              <w:left w:w="120.0" w:type="dxa"/>
              <w:bottom w:w="80" w:type="dxa"/>
              <w:right w:w="120.0" w:type="dxa"/>
              <w:start w:type="dxa" w:w="120"/>
              <w:end w:type="dxa" w:w="120"/>
            </w:tcMar>
            <w:vAlign w:val="center"/>
            <w:tcW w:type="dxa" w:w="1815"/>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p>
        </w:tc>
        <w:tc>
          <w:tcPr>
            <w:tcBorders>
              <w:top w:color="ffffff" w:space="0" w:sz="8" w:val="single"/>
              <w:bottom w:color="ffffff" w:space="0" w:sz="8" w:val="single"/>
              <w:right w:color="ffffff" w:space="0" w:sz="8" w:val="single"/>
            </w:tcBorders>
            <w:shd w:fill="f6f9fc" w:val="clear"/>
            <w:tcMar>
              <w:top w:w="80" w:type="dxa"/>
              <w:left w:w="120.0" w:type="dxa"/>
              <w:bottom w:w="80" w:type="dxa"/>
              <w:right w:w="120.0" w:type="dxa"/>
              <w:start w:type="dxa" w:w="120"/>
              <w:end w:type="dxa" w:w="120"/>
            </w:tcMar>
            <w:vAlign w:val="center"/>
            <w:tcW w:type="dxa" w:w="8340"/>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Codex, Claude Code, Kimi Code, ZCode, dashi-taskboard, SpineCodex</w:t>
            </w:r>
          </w:p>
        </w:tc>
      </w:tr>
      <w:tr>
        <w:trPr>
          <w:cantSplit w:val="1"/>
          <w:tblHeader w:val="0"/>
        </w:trPr>
        <w:tc>
          <w:tcPr>
            <w:shd w:fill="cfe2f3" w:val="clear"/>
            <w:tcMar>
              <w:top w:w="80" w:type="dxa"/>
              <w:left w:w="120.0" w:type="dxa"/>
              <w:bottom w:w="80" w:type="dxa"/>
              <w:right w:w="120.0" w:type="dxa"/>
              <w:start w:type="dxa" w:w="120"/>
              <w:end w:type="dxa" w:w="120"/>
            </w:tcMar>
            <w:vAlign w:val="center"/>
            <w:tcW w:type="dxa" w:w="1815"/>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p>
        </w:tc>
        <w:tc>
          <w:tcPr>
            <w:tcBorders>
              <w:top w:color="ffffff" w:space="0" w:sz="8" w:val="single"/>
              <w:bottom w:color="ffffff" w:space="0" w:sz="8" w:val="single"/>
              <w:right w:color="ffffff" w:space="0" w:sz="8" w:val="single"/>
            </w:tcBorders>
            <w:shd w:fill="f6f9fc" w:val="clear"/>
            <w:tcMar>
              <w:top w:w="80" w:type="dxa"/>
              <w:left w:w="120.0" w:type="dxa"/>
              <w:bottom w:w="80" w:type="dxa"/>
              <w:right w:w="120.0" w:type="dxa"/>
              <w:start w:type="dxa" w:w="120"/>
              <w:end w:type="dxa" w:w="120"/>
            </w:tcMar>
            <w:vAlign w:val="center"/>
            <w:tcW w:type="dxa" w:w="8340"/>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Web-first AI development-team workbench with replaceable Runtime providers.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Noto Sans SC" w:cs="Noto Sans SC" w:eastAsia="Noto Sans SC" w:hAnsi="Noto Sans SC"/>
          <w:color w:val="082a4a"/>
          <w:rtl w:val="0"/>
          <w:lang w:eastAsia="zh-CN"/>
        </w:rPr>
        <w:t>1.  摘要</w:t>
      </w:r>
    </w:p>
    <w:p w14:paraId="00000027">
      <w:pPr>
        <w:spacing w:after="110" w:line="300" w:lineRule="auto"/>
        <w:jc w:val="both"/>
        <w:rPr>
          <w:rFonts w:ascii="Helvetica Neue" w:cs="Helvetica Neue" w:eastAsia="Helvetica Neue" w:hAnsi="Helvetica Neue"/>
        </w:rPr>
      </w:pPr>
      <w:r>
        <w:rPr>
          <w:rFonts w:ascii="Noto Sans SC" w:cs="Noto Sans SC" w:eastAsia="Noto Sans SC" w:hAnsi="Noto Sans SC"/>
          <w:color w:val="233447"/>
          <w:rtl w:val="0"/>
          <w:lang w:eastAsia="zh-CN"/>
        </w:rPr>
        <w:t>本设计采用“Web 控制平面 + Runner + 版本化 Runtime Bridge + Provider Adapter”。工作台拥有看板、角色、依赖、审批、审核与产物；Codex、Claude Code、Kimi Code、ZCode、DeepSeek Harness、SpineCodex 只执行 ExecutionRun。Web 前端不依赖原生协议，差异全部终止在 Adapter 内。</w:t>
      </w:r>
    </w:p>
    <w:p w14:paraId="00000028">
      <w:pPr>
        <w:spacing w:after="110" w:line="300" w:lineRule="auto"/>
        <w:jc w:val="both"/>
        <w:rPr>
          <w:rFonts w:ascii="Helvetica Neue" w:cs="Helvetica Neue" w:eastAsia="Helvetica Neue" w:hAnsi="Helvetica Neue"/>
        </w:rPr>
      </w:pPr>
      <w:r>
        <w:rPr>
          <w:rFonts w:ascii="Noto Sans SC" w:cs="Noto Sans SC" w:eastAsia="Noto Sans SC" w:hAnsi="Noto Sans SC"/>
          <w:color w:val="233447"/>
          <w:rtl w:val="0"/>
          <w:lang w:eastAsia="zh-CN"/>
        </w:rPr>
        <w:t>MVP 使用模块化单体、PostgreSQL、事务 Outbox、SSE 和一个本地 Runner Connector。桥接层只统一生命周期、事件、审批与产物；专有能力走 capability negotiation 和扩展事件。首期不追求 Runtime 全覆盖，也不把 Session、Subagent 或 SpineTree 提升为任务权威对象。</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Noto Sans SC" w:cs="Noto Sans SC" w:eastAsia="Noto Sans SC" w:hAnsi="Noto Sans SC"/>
          <w:rtl w:val="0"/>
          <w:lang w:eastAsia="zh-CN"/>
        </w:rPr>
        <w:t>2.  目标与非目标</w:t>
      </w:r>
    </w:p>
    <w:tbl>
      <w:tblPr>
        <w:tblStyle w:val="Table3"/>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type="dxa" w:w="12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5112"/>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5112"/>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5112"/>
          </w:tcPr>
          <w:p w14:paraId="0000002D">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Web 端统一管理项目、团队、任务、审批、审核和产物。</w:t>
            </w:r>
          </w:p>
        </w:tc>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5112"/>
          </w:tcPr>
          <w:p w14:paraId="0000002E">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不统一各家 Runtime 的完整原生协议或全部 UI。</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5112"/>
          </w:tcPr>
          <w:p w14:paraId="0000002F">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每个 WorkItem 可多次执行，并可在不同 Runtime 间重试或迁移。</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5112"/>
          </w:tcPr>
          <w:p w14:paraId="00000030">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首期不提供完整 SaaS 多租户、计费和企业治理。</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5112"/>
          </w:tcPr>
          <w:p w14:paraId="00000031">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通过版本化能力协商安全接入 Codex、Claude、Kimi、ZCode 等。</w:t>
            </w:r>
          </w:p>
        </w:tc>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5112"/>
          </w:tcPr>
          <w:p w14:paraId="00000032">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不保证不支持 resume 的 Runtime 可以无损续跑。</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5112"/>
          </w:tcPr>
          <w:p w14:paraId="00000033">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故障可观察、命令幂等、事件可补发、运行历史不可覆盖。</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5112"/>
          </w:tcPr>
          <w:p w14:paraId="00000034">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不允许 Agent 或 Runtime 直接把任务标记为 Done。</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Noto Sans SC" w:cs="Noto Sans SC" w:eastAsia="Noto Sans SC" w:hAnsi="Noto Sans SC"/>
          <w:rtl w:val="0"/>
          <w:lang w:eastAsia="zh-CN"/>
        </w:rPr>
        <w:t>3.  背景与问题陈述</w:t>
      </w:r>
    </w:p>
    <w:p w14:paraId="00000037">
      <w:pPr>
        <w:spacing w:after="110" w:line="300" w:lineRule="auto"/>
        <w:jc w:val="both"/>
        <w:rPr>
          <w:rFonts w:ascii="Helvetica Neue" w:cs="Helvetica Neue" w:eastAsia="Helvetica Neue" w:hAnsi="Helvetica Neue"/>
        </w:rPr>
      </w:pPr>
      <w:r>
        <w:rPr>
          <w:rFonts w:ascii="Noto Sans SC" w:cs="Noto Sans SC" w:eastAsia="Noto Sans SC" w:hAnsi="Noto Sans SC"/>
          <w:color w:val="233447"/>
          <w:rtl w:val="0"/>
          <w:lang w:eastAsia="zh-CN"/>
        </w:rPr>
        <w:t>Runtime 协议差异很大：Codex 使用 app-server，Claude Code 提供 SDK/CLI，Kimi Code 提供 ACP、REST/WS 与 stream-json，ZCode 尚需验证。Web UI 直连会锁定任务、权限与恢复语义。控制平面拥有 WorkItem、ExecutionRun、Review 与 Artifact；Gateway 按能力选择 Adapter。WorkItem 是业务任务，ExecutionRun 是不可覆盖的历史，Runtime Session/Thread 只是 Adapter 私有句柄。</w:t>
      </w:r>
      <w:r>
        <w:rPr>
          <w:rFonts w:ascii="Helvetica Neue" w:cs="Helvetica Neue" w:eastAsia="Helvetica Neue" w:hAnsi="Helvetica Neue"/>
          <w:sz w:val="13"/>
          <w:szCs w:val="13"/>
          <w:vertAlign w:val="superscript"/>
        </w:rPr>
        <w:footnoteReference w:customMarkFollows="0" w:id="0"/>
      </w:r>
    </w:p>
    <w:p w14:paraId="00000039">
      <w:pPr>
        <w:pStyle w:val="Heading1"/>
        <w:rPr>
          <w:rFonts w:ascii="Helvetica Neue" w:cs="Helvetica Neue" w:eastAsia="Helvetica Neue" w:hAnsi="Helvetica Neue"/>
        </w:rPr>
        <w:pageBreakBefore w:val="true"/>
      </w:pPr>
      <w:r>
        <w:rPr>
          <w:rFonts w:ascii="Noto Sans SC" w:cs="Noto Sans SC" w:eastAsia="Noto Sans SC" w:hAnsi="Noto Sans SC"/>
          <w:rtl w:val="0"/>
          <w:lang w:eastAsia="zh-CN"/>
        </w:rPr>
        <w:t>4.  建议架构</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Runtime-agnostic Web workbench architecture showing the Web client, control plane, Runtime Gateway, runners, stores, policies, telemetry, and provider adapters." title="Runtime-agnostic Agent Team Workbench architecture"/>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Noto Sans SC" w:cs="Noto Sans SC" w:eastAsia="Noto Sans SC" w:hAnsi="Noto Sans SC"/>
          <w:color w:val="082a4a"/>
          <w:rtl w:val="0"/>
          <w:lang w:eastAsia="zh-CN"/>
        </w:rPr>
        <w:t>图 1. Web-first 控制平面与可替换 Runtime Bridge。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2"/>
        <w:spacing w:after="90" w:line="280" w:lineRule="auto"/>
        <w:rPr/>
        <w:keepNext w:val="true"/>
      </w:pPr>
      <w:r>
        <w:rPr>
          <w:rFonts w:ascii="Noto Sans SC" w:cs="Noto Sans SC" w:eastAsia="Noto Sans SC" w:hAnsi="Noto Sans SC"/>
          <w:rtl w:val="0"/>
          <w:lang w:eastAsia="zh-CN"/>
          <w:b w:val="true"/>
          <w:color w:val="5B7085"/>
          <w:sz w:val="22"/>
          <w:szCs w:val="22"/>
        </w:rPr>
        <w:t>核心组件</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type="dxa" w:w="120"/>
      </w:tblPr>
      <w:tblGrid>
        <w:gridCol w:w="2268"/>
        <w:gridCol w:w="3164"/>
        <w:gridCol w:w="2374"/>
        <w:gridCol w:w="2634"/>
        <w:tblGridChange w:id="0">
          <w:tblGrid>
            <w:gridCol w:w="2268"/>
            <w:gridCol w:w="3164"/>
            <w:gridCol w:w="2374"/>
            <w:gridCol w:w="2634"/>
          </w:tblGrid>
        </w:tblGridChange>
      </w:tblGrid>
      <w:tr>
        <w:trPr>
          <w:cantSplit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2268"/>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3164"/>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2374"/>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storage</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2634"/>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268"/>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Web Experience / BFF</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164"/>
          </w:tcPr>
          <w:p w14:paraId="00000045">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看板、团队、Run 时间线、审批与查询投影；REST 命令 + SSE 事件。</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374"/>
          </w:tcPr>
          <w:p w14:paraId="00000046">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控制平面 API / 浏览器缓存</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634"/>
          </w:tcPr>
          <w:p w14:paraId="00000047">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断线后以 cursor 补发；浏览器不直连 Runtime。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268"/>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Control Plane / Scheduler</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164"/>
          </w:tcPr>
          <w:p w14:paraId="00000049">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拥有领域状态、依赖、认领、并发、审核门和运行分派。</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2374"/>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PostgreSQL + transactional outbox</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2634"/>
          </w:tcPr>
          <w:p w14:paraId="0000004B">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权威写失败则不启动副作用；不由 Agent 猜测状态。</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268"/>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Runtime Gateway</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164"/>
          </w:tcPr>
          <w:p w14:paraId="0000004D">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版本化命令、能力协商、错误映射、事件归一化和原始事件引用。</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374"/>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Adapter registry / contract schemas</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634"/>
          </w:tcPr>
          <w:p w14:paraId="0000004F">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不满足 required capabilities 时拒绝分派或显式降级。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268"/>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Runner Manager / Worker</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164"/>
          </w:tcPr>
          <w:p w14:paraId="00000051">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在本地或远程启动 Adapter，管理进程、Sandbox、Worktree 和凭证引用。</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2374"/>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Runner lease / local secure store</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2634"/>
          </w:tcPr>
          <w:p w14:paraId="00000053">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rPr>
              <w:t>心跳丢失标记 lost；可恢复才 resume，否则创建新 Run。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268"/>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Data &amp; Observability Plane</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164"/>
          </w:tcPr>
          <w:p w14:paraId="00000055">
            <w:pPr>
              <w:spacing w:after="25" w:line="285" w:lineRule="auto"/>
              <w:rPr>
                <w:rFonts w:ascii="Helvetica Neue" w:cs="Helvetica Neue" w:eastAsia="Helvetica Neue" w:hAnsi="Helvetica Neue"/>
              </w:rPr>
            </w:pPr>
            <w:r>
              <w:rPr>
                <w:rFonts w:ascii="Noto Sans SC" w:cs="Noto Sans SC" w:eastAsia="Noto Sans SC" w:hAnsi="Noto Sans SC"/>
                <w:color w:val="233447"/>
                <w:rtl w:val="0"/>
                <w:lang w:eastAsia="zh-CN"/>
              </w:rPr>
              <w:t>保存事件、产物、审计、指标、追踪及 Provider 原始载荷引用。</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374"/>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PostgreSQL / object store / telemetry</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634"/>
          </w:tcPr>
          <w:p w14:paraId="00000057">
            <w:pPr>
              <w:spacing w:after="25" w:line="285" w:lineRule="auto"/>
              <w:rPr>
                <w:rFonts w:ascii="Helvetica Neue" w:cs="Helvetica Neue" w:eastAsia="Helvetica Neue" w:hAnsi="Helvetica Neue"/>
              </w:rPr>
            </w:pPr>
            <w:r>
              <w:rPr>
                <w:rFonts w:ascii="Noto Sans SC" w:cs="Noto Sans SC" w:eastAsia="Noto Sans SC" w:hAnsi="Noto Sans SC"/>
                <w:color w:val="233447"/>
                <w:rtl w:val="0"/>
                <w:lang w:eastAsia="zh-CN"/>
              </w:rPr>
              <w:t>事件先落库再广播；观测失败不改变业务终态。</w:t>
            </w:r>
          </w:p>
        </w:tc>
      </w:tr>
    </w:tbl>
    <w:p w14:paraId="0000003E">
      <w:pPr>
        <w:pStyle w:val="Heading2"/>
        <w:spacing w:after="90" w:line="280" w:lineRule="auto"/>
        <w:rPr/>
        <w:keepNext w:val="true"/>
      </w:pPr>
      <w:r>
        <w:rPr>
          <w:rFonts w:ascii="Noto Sans SC" w:cs="Noto Sans SC" w:eastAsia="Noto Sans SC" w:hAnsi="Noto Sans SC"/>
          <w:rtl w:val="0"/>
          <w:lang w:eastAsia="zh-CN"/>
          <w:b w:val="true"/>
          <w:color w:val="5B7085"/>
          <w:sz w:val="22"/>
          <w:szCs w:val="22"/>
        </w:rPr>
        <w:t>Runtime Provider 适配矩阵</w:t>
      </w:r>
    </w:p>
    <w:tbl>
      <w:tblPr>
        <w:tblStyle w:val="Table4"/>
        <w:tblW w:w="104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type="dxa" w:w="120"/>
      </w:tblPr>
      <w:tblGrid>
        <w:gridCol w:w="2268"/>
        <w:gridCol w:w="3164"/>
        <w:gridCol w:w="2374"/>
        <w:gridCol w:w="2634"/>
        <w:tblGridChange w:id="0">
          <w:tblGrid>
            <w:gridCol w:w="2268"/>
            <w:gridCol w:w="3164"/>
            <w:gridCol w:w="2374"/>
            <w:gridCol w:w="2634"/>
          </w:tblGrid>
        </w:tblGridChange>
      </w:tblGrid>
      <w:tr>
        <w:trPr>
          <w:cantSplit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2268"/>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Provider</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3164"/>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Candidate transport</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2374"/>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Canonical mapping</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2634"/>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Phase / risk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268"/>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OpenAI Codex</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164"/>
          </w:tcPr>
          <w:p w14:paraId="00000045">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app-server JSON-RPC / stdio</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374"/>
          </w:tcPr>
          <w:p w14:paraId="00000046">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Thread、Turn、流式事件、审批、Subagents</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634"/>
          </w:tcPr>
          <w:p w14:paraId="00000047">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M2 参考 Adapter；固定版本并生成 schema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268"/>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Claude Code</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164"/>
          </w:tcPr>
          <w:p w14:paraId="00000049">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Agent SDK；必要时 CLI stream-json</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2374"/>
          </w:tcPr>
          <w:p w14:paraId="0000004A">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Session、resume、消息流、工具与权限事件</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2634"/>
          </w:tcPr>
          <w:p w14:paraId="0000004B">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M2；SDK 与 CLI 版本差异需 conformance tests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268"/>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Kimi Code</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164"/>
          </w:tcPr>
          <w:p w14:paraId="0000004D">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ACP JSON-RPC；Web REST/WS；stream-json</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374"/>
          </w:tcPr>
          <w:p w14:paraId="0000004E">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Session、工具调用、审批、模型与 Agent 绑定</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634"/>
          </w:tcPr>
          <w:p w14:paraId="0000004F">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M3；按部署选择 ACP 或 Web API</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268"/>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ZCode</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164"/>
          </w:tcPr>
          <w:p w14:paraId="00000051">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官方 Runtime/CLI 可用面；先做 adapter spike</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2374"/>
          </w:tcPr>
          <w:p w14:paraId="00000052">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任务、Session、事件、插件；缺失能力显式标记</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2634"/>
          </w:tcPr>
          <w:p w14:paraId="00000053">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M4；公开协议成熟度与稳定性 TBD</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268"/>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DSH / SpineCodex</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164"/>
          </w:tcPr>
          <w:p w14:paraId="00000055">
            <w:pPr>
              <w:spacing w:after="25"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原生 RPC 或 app-server 扩展事件</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374"/>
          </w:tcPr>
          <w:p w14:paraId="00000056">
            <w:pPr>
              <w:spacing w:after="25"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完整生命周期；SpineTree 作为 Run 扩展视图</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2634"/>
          </w:tcPr>
          <w:p w14:paraId="00000057">
            <w:pPr>
              <w:spacing w:after="25"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M4；实验能力不得污染核心状态</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Noto Sans SC" w:cs="Noto Sans SC" w:eastAsia="Noto Sans SC" w:hAnsi="Noto Sans SC"/>
          <w:rtl w:val="0"/>
          <w:lang w:eastAsia="zh-CN"/>
        </w:rPr>
        <w:t>5.  请求与执行生命周期</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用户或自动化提交 WorkItem 命令；API 校验 tenant、workspace、预期版本与 idempotencyKey。</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控制平面验证依赖、角色权限、审核规则与并发预算，创建 queued ExecutionRun 并写入 Outbox。</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Scheduler 根据 AgentProfile.requiredCapabilities、preferredRuntime 与 fallbackRuntimes 选择 Runner 和 Adapter。</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Runtime Gateway 固化 providerVersion、adapterVersion、capabilitySnapshot、Profile 快照和 WorkspaceContext。</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ExecutionRun 与租约持久化成功后，Runner 才创建或恢复原生 Session，并开始接收 Provider 事件。</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Adapter 先持久化 raw/canonical event，再通过游标流广播；审批、输入等待和失联成为显式 Run 状态。</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Runtime 结束后生成 Artifact 与验证证据；Run 进入终态，WorkItem 仅按 Review/Human gate 推进到 in_review 或 done。</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Noto Sans SC" w:cs="Noto Sans SC" w:eastAsia="Noto Sans SC" w:hAnsi="Noto Sans SC"/>
          <w:rtl w:val="0"/>
          <w:lang w:eastAsia="zh-CN"/>
        </w:rPr>
        <w:t>6.  API 与数据契约</w:t>
      </w:r>
    </w:p>
    <w:p w14:paraId="00000064">
      <w:pPr>
        <w:pStyle w:val="Heading2"/>
        <w:spacing w:after="90" w:line="280" w:lineRule="auto"/>
        <w:rPr/>
        <w:keepNext w:val="true"/>
      </w:pPr>
      <w:r>
        <w:rPr>
          <w:rFonts/>
          <w:rtl w:val="0"/>
          <w:b w:val="true"/>
          <w:color w:val="5B7085"/>
          <w:sz w:val="22"/>
          <w:szCs w:val="22"/>
        </w:rPr>
        <w:t>Canonical Runtime Envelope</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type="dxa" w:w="120"/>
      </w:tblPr>
      <w:tblGrid>
        <w:gridCol w:w="2344"/>
        <w:gridCol w:w="1921"/>
        <w:gridCol w:w="1873"/>
        <w:gridCol w:w="4302"/>
        <w:tblGridChange w:id="0">
          <w:tblGrid>
            <w:gridCol w:w="2344"/>
            <w:gridCol w:w="1921"/>
            <w:gridCol w:w="1873"/>
            <w:gridCol w:w="4302"/>
          </w:tblGrid>
        </w:tblGridChange>
      </w:tblGrid>
      <w:tr>
        <w:trPr>
          <w:cantSplit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2344"/>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1921"/>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1873"/>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4302"/>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344"/>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contractVersion</w:t>
            </w:r>
          </w:p>
        </w:tc>
        <w:tc>
          <w:tcPr>
            <w:tcBorders>
              <w:top w:color="ffffff" w:space="0" w:sz="6" w:val="single"/>
              <w:left w:color="ffffff" w:space="0" w:sz="6" w:val="single"/>
              <w:bottom w:color="ffffff" w:space="0" w:sz="6" w:val="single"/>
              <w:right w:color="ffffff" w:space="0" w:sz="6" w:val="single"/>
            </w:tcBorders>
            <w:tcMar>
              <w:top w:w="80" w:type="dxa"/>
              <w:left w:w="120.0" w:type="dxa"/>
              <w:bottom w:w="80" w:type="dxa"/>
              <w:right w:w="120.0" w:type="dxa"/>
              <w:start w:type="dxa" w:w="120"/>
              <w:end w:type="dxa" w:w="120"/>
            </w:tcMar>
            <w:vAlign w:val="center"/>
            <w:tcW w:type="dxa" w:w="1921"/>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string</w:t>
            </w:r>
          </w:p>
        </w:tc>
        <w:tc>
          <w:tcPr>
            <w:tcBorders>
              <w:top w:color="ffffff" w:space="0" w:sz="6" w:val="single"/>
              <w:left w:color="ffffff" w:space="0" w:sz="6" w:val="single"/>
              <w:bottom w:color="ffffff" w:space="0" w:sz="6" w:val="single"/>
              <w:right w:color="ffffff" w:space="0" w:sz="6" w:val="single"/>
            </w:tcBorders>
            <w:tcMar>
              <w:top w:w="80" w:type="dxa"/>
              <w:left w:w="120.0" w:type="dxa"/>
              <w:bottom w:w="80" w:type="dxa"/>
              <w:right w:w="120.0" w:type="dxa"/>
              <w:start w:type="dxa" w:w="120"/>
              <w:end w:type="dxa" w:w="120"/>
            </w:tcMar>
            <w:vAlign w:val="center"/>
            <w:tcW w:type="dxa" w:w="1873"/>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Yes</w:t>
            </w:r>
          </w:p>
        </w:tc>
        <w:tc>
          <w:tcPr>
            <w:tcBorders>
              <w:top w:color="ffffff" w:space="0" w:sz="6" w:val="single"/>
              <w:left w:color="ffffff" w:space="0" w:sz="6" w:val="single"/>
              <w:bottom w:color="ffffff" w:space="0" w:sz="6" w:val="single"/>
              <w:right w:color="ffffff" w:space="0" w:sz="6" w:val="single"/>
            </w:tcBorders>
            <w:tcMar>
              <w:top w:w="80" w:type="dxa"/>
              <w:left w:w="120.0" w:type="dxa"/>
              <w:bottom w:w="80" w:type="dxa"/>
              <w:right w:w="120.0" w:type="dxa"/>
              <w:start w:type="dxa" w:w="120"/>
              <w:end w:type="dxa" w:w="120"/>
            </w:tcMar>
            <w:vAlign w:val="center"/>
            <w:tcW w:type="dxa" w:w="4302"/>
          </w:tcPr>
          <w:p w14:paraId="0000006D">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桥接协议主版本；Adapter 只接受兼容范围。</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344"/>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provider</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1921"/>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object</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1873"/>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Yes</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4302"/>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providerId、providerVersion、adapterId、adapterVersion。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344"/>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runId / sessionRef</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1921"/>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UUID / opaque</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1873"/>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Yes</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4302"/>
          </w:tcPr>
          <w:p w14:paraId="00000075">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runId 归控制平面；sessionRef 为 Adapter 私有句柄。</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344"/>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commandId</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1921"/>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UUID</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1873"/>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Commands</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4302"/>
          </w:tcPr>
          <w:p w14:paraId="00000079">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命令幂等键；重复提交返回原结果，不重复副作用。</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344"/>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capabilitySnapshot</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1921"/>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object</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1873"/>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Start</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4302"/>
          </w:tcPr>
          <w:p w14:paraId="0000007D">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required 与 advertised capability 的版本化快照。</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344"/>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seq / event</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1921"/>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int64 / union</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1873"/>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Events</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4302"/>
          </w:tcPr>
          <w:p w14:paraId="00000081">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Run 内单调序号与 canonical event discriminant。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344"/>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extensions / rawRef</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1921"/>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map / URI</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1873"/>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No</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4302"/>
          </w:tcPr>
          <w:p w14:paraId="00000085">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Provider 专有字段与原始载荷引用；核心逻辑不得依赖未知扩展。</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2"/>
        <w:spacing w:after="90" w:line="280" w:lineRule="auto"/>
        <w:rPr/>
        <w:keepNext w:val="true"/>
      </w:pPr>
      <w:r>
        <w:rPr>
          <w:rFonts w:ascii="Noto Sans SC" w:cs="Noto Sans SC" w:eastAsia="Noto Sans SC" w:hAnsi="Noto Sans SC"/>
          <w:rtl w:val="0"/>
          <w:lang w:eastAsia="zh-CN"/>
          <w:b w:val="true"/>
          <w:color w:val="5B7085"/>
          <w:sz w:val="22"/>
          <w:szCs w:val="22"/>
        </w:rPr>
        <w:t>契约保证</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控制平面写入 Run 与 capabilitySnapshot 成功前，不允许启动 Runtime 副作用。</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同一 runId 下 commandId 幂等；事件以 runId + seq 去重并保持单调投影。</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审计必须记录 Profile、Policy、Workspace、Adapter、Provider 及其版本快照。</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Canonical Event 是工作台投影事实源；Raw Provider Event 仅用于调试、回放验证和扩展展示。</w:t>
      </w:r>
    </w:p>
    <w:p w14:paraId="0000008D">
      <w:pPr>
        <w:spacing w:after="110" w:line="300" w:lineRule="auto"/>
        <w:rPr>
          <w:rFonts w:ascii="Helvetica Neue" w:cs="Helvetica Neue" w:eastAsia="Helvetica Neue" w:hAnsi="Helvetica Neue"/>
        </w:rPr>
      </w:pPr>
      <w:r>
        <w:rPr>
          <w:rFonts w:ascii="Noto Sans SC" w:cs="Noto Sans SC" w:eastAsia="Noto Sans SC" w:hAnsi="Noto Sans SC"/>
          <w:color w:val="233447"/>
          <w:rtl w:val="0"/>
          <w:lang w:eastAsia="zh-CN"/>
        </w:rPr>
        <w:t>版本化接口定义将在实现阶段发布到：</w:t>
      </w:r>
    </w:p>
    <w:p w14:paraId="0000008E">
      <w:pPr>
        <w:spacing w:after="110" w:line="300" w:lineRule="auto"/>
        <w:rPr>
          <w:rFonts w:ascii="Helvetica Neue" w:cs="Helvetica Neue" w:eastAsia="Helvetica Neue" w:hAnsi="Helvetica Neue"/>
        </w:rPr>
      </w:pPr>
      <w:r>
        <w:rPr>
          <w:rFonts w:ascii="Noto Sans SC" w:cs="Noto Sans SC" w:eastAsia="Noto Sans SC" w:hAnsi="Noto Sans SC"/>
          <w:color w:val="233447"/>
          <w:rtl w:val="0"/>
          <w:lang w:eastAsia="zh-CN"/>
        </w:rPr>
        <w:t>contracts/runtime-bridge/v1/（M1 创建；当前为设计目标，不是已发布接口）。</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Noto Sans SC" w:cs="Noto Sans SC" w:eastAsia="Noto Sans SC" w:hAnsi="Noto Sans SC"/>
          <w:rtl w:val="0"/>
          <w:lang w:eastAsia="zh-CN"/>
        </w:rPr>
        <w:t>7.  一致性、幂等与回放</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Noto Sans SC" w:cs="Noto Sans SC" w:eastAsia="Noto Sans SC" w:hAnsi="Noto Sans SC"/>
          <w:color w:val="233447"/>
          <w:rtl w:val="0"/>
          <w:lang w:eastAsia="zh-CN"/>
        </w:rPr>
        <w:t>采用“命令幂等、事件至少一次写入、Run 内单调序号、游标补发”的模型。Replay 只重建已记录的状态和时间线，不重新调用模型或工具。completed、failed、cancelled 等 Run 终态不可逆；重试、返工和 Runtime 切换总是创建新的 ExecutionRun，并以 parentRunId 关联历史。</w:t>
      </w:r>
    </w:p>
    <w:tbl>
      <w:tblPr>
        <w:tblStyle w:val="Table6"/>
        <w:tblW w:w="104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type="dxa" w:w="120"/>
      </w:tblPr>
      <w:tblGrid>
        <w:gridCol w:w="3337"/>
        <w:gridCol w:w="3722"/>
        <w:gridCol w:w="3381"/>
        <w:tblGridChange w:id="0">
          <w:tblGrid>
            <w:gridCol w:w="3337"/>
            <w:gridCol w:w="3722"/>
            <w:gridCol w:w="3381"/>
          </w:tblGrid>
        </w:tblGridChange>
      </w:tblGrid>
      <w:tr>
        <w:trPr>
          <w:cantSplit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3337"/>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3722"/>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3381"/>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3337"/>
          </w:tcPr>
          <w:p w14:paraId="00000096">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重复命令或客户端重试</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722"/>
          </w:tcPr>
          <w:p w14:paraId="00000097">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以 commandId 返回相同接受结果，不重复启动 Run。</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381"/>
          </w:tcPr>
          <w:p w14:paraId="00000098">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唯一约束 + 命令结果表隔离网络重试。</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3337"/>
          </w:tcPr>
          <w:p w14:paraId="00000099">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权威写入或 Outbox 失败</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722"/>
          </w:tcPr>
          <w:p w14:paraId="0000009A">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Run 保持未启动并返回可重试错误。</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381"/>
          </w:tcPr>
          <w:p w14:paraId="0000009B">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先写状态再执行，避免幽灵任务和失配状态。</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3337"/>
          </w:tcPr>
          <w:p w14:paraId="0000009C">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Runner 失联或 Provider 超时</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722"/>
          </w:tcPr>
          <w:p w14:paraId="0000009D">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标记 lost/waiting；仅在支持 resume 时恢复，否则新建 retry Run。</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381"/>
          </w:tcPr>
          <w:p w14:paraId="0000009E">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失联不是失败，且不能猜测原生 Session 是否已终止。</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3337"/>
          </w:tcPr>
          <w:p w14:paraId="0000009F">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运行中配置发生变化</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722"/>
          </w:tcPr>
          <w:p w14:paraId="000000A0">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当前 Run 继续使用启动时快照；新配置只影响后续 Run。</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381"/>
          </w:tcPr>
          <w:p w14:paraId="000000A1">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防止中途切换权限、Profile 或 Adapter 语义。</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Noto Sans SC" w:cs="Noto Sans SC" w:eastAsia="Noto Sans SC" w:hAnsi="Noto Sans SC"/>
          <w:rtl w:val="0"/>
          <w:lang w:eastAsia="zh-CN"/>
        </w:rPr>
        <w:t>8.  安全与隐私</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Web 控制平面实施 tenant/workspace RBAC；浏览器不持有 Provider 凭证，也不直接连接本地 Runtime。</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本地 Runner 只建立出站连接；事件日志默认脱敏，原始载荷进入受限对象存储并设独立保留期。</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凭证优先保留在 Runner 本地安全存储；控制平面仅保存 CredentialRef 和授权范围。</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每个 Run 固化 Sandbox、工具白名单、网络策略与 approvalPolicy；不支持审批的 Runtime 不承接高风险任务。</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导出、Replay、调试和迁移工具默认只读；所有审批、工具副作用、下载和删除均进入审计日志。</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Noto Sans SC" w:cs="Noto Sans SC" w:eastAsia="Noto Sans SC" w:hAnsi="Noto Sans SC"/>
          <w:rtl w:val="0"/>
          <w:lang w:eastAsia="zh-CN"/>
        </w:rPr>
        <w:t>9.  运行准备</w:t>
      </w:r>
    </w:p>
    <w:tbl>
      <w:tblPr>
        <w:tblStyle w:val="Table7"/>
        <w:tblW w:w="1044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Ind w:type="dxa" w:w="120"/>
      </w:tblPr>
      <w:tblGrid>
        <w:gridCol w:w="2268"/>
        <w:gridCol w:w="3521"/>
        <w:gridCol w:w="2306"/>
        <w:gridCol w:w="2345"/>
        <w:tblGridChange w:id="0">
          <w:tblGrid>
            <w:gridCol w:w="2268"/>
            <w:gridCol w:w="3521"/>
            <w:gridCol w:w="2306"/>
            <w:gridCol w:w="2345"/>
          </w:tblGrid>
        </w:tblGridChange>
      </w:tblGrid>
      <w:tr>
        <w:trPr>
          <w:cantSplit w:val="1"/>
          <w:tblHeader w:val="true"/>
        </w:trPr>
        <w:tc>
          <w:tcPr>
            <w:tcBorders>
              <w:top w:color="ffffff" w:space="0" w:sz="8" w:val="single"/>
              <w:left w:color="ffffff" w:space="0" w:sz="8" w:val="single"/>
              <w:bottom w:color="ffffff" w:space="0" w:sz="8" w:val="single"/>
              <w:right w:color="ffffff" w:space="0" w:sz="8" w:val="single"/>
            </w:tcBorders>
            <w:shd w:fill="082a4a" w:val="clear"/>
            <w:tcMar>
              <w:top w:w="80" w:type="dxa"/>
              <w:left w:w="120.0" w:type="dxa"/>
              <w:bottom w:w="80" w:type="dxa"/>
              <w:right w:w="120.0" w:type="dxa"/>
              <w:start w:type="dxa" w:w="120"/>
              <w:end w:type="dxa" w:w="120"/>
            </w:tcMar>
            <w:vAlign w:val="center"/>
            <w:tcW w:type="dxa" w:w="2268"/>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p>
        </w:tc>
        <w:tc>
          <w:tcPr>
            <w:tcBorders>
              <w:top w:color="ffffff" w:space="0" w:sz="8" w:val="single"/>
              <w:left w:color="ffffff" w:space="0" w:sz="8" w:val="single"/>
              <w:bottom w:color="ffffff" w:space="0" w:sz="8" w:val="single"/>
              <w:right w:color="ffffff" w:space="0" w:sz="8" w:val="single"/>
            </w:tcBorders>
            <w:shd w:fill="082a4a" w:val="clear"/>
            <w:tcMar>
              <w:top w:w="80" w:type="dxa"/>
              <w:left w:w="120.0" w:type="dxa"/>
              <w:bottom w:w="80" w:type="dxa"/>
              <w:right w:w="120.0" w:type="dxa"/>
              <w:start w:type="dxa" w:w="120"/>
              <w:end w:type="dxa" w:w="120"/>
            </w:tcMar>
            <w:vAlign w:val="center"/>
            <w:tcW w:type="dxa" w:w="3521"/>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SLO or alert</w:t>
            </w:r>
          </w:p>
        </w:tc>
        <w:tc>
          <w:tcPr>
            <w:tcBorders>
              <w:top w:color="ffffff" w:space="0" w:sz="8" w:val="single"/>
              <w:left w:color="ffffff" w:space="0" w:sz="8" w:val="single"/>
              <w:bottom w:color="ffffff" w:space="0" w:sz="8" w:val="single"/>
              <w:right w:color="ffffff" w:space="0" w:sz="8" w:val="single"/>
            </w:tcBorders>
            <w:shd w:fill="082a4a" w:val="clear"/>
            <w:tcMar>
              <w:top w:w="80" w:type="dxa"/>
              <w:left w:w="120.0" w:type="dxa"/>
              <w:bottom w:w="80" w:type="dxa"/>
              <w:right w:w="120.0" w:type="dxa"/>
              <w:start w:type="dxa" w:w="120"/>
              <w:end w:type="dxa" w:w="120"/>
            </w:tcMar>
            <w:vAlign w:val="center"/>
            <w:tcW w:type="dxa" w:w="2306"/>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p>
        </w:tc>
        <w:tc>
          <w:tcPr>
            <w:tcBorders>
              <w:top w:color="ffffff" w:space="0" w:sz="8" w:val="single"/>
              <w:left w:color="ffffff" w:space="0" w:sz="8" w:val="single"/>
              <w:bottom w:color="ffffff" w:space="0" w:sz="8" w:val="single"/>
              <w:right w:color="ffffff" w:space="0" w:sz="8" w:val="single"/>
            </w:tcBorders>
            <w:shd w:fill="082a4a" w:val="clear"/>
            <w:tcMar>
              <w:top w:w="80" w:type="dxa"/>
              <w:left w:w="120.0" w:type="dxa"/>
              <w:bottom w:w="80" w:type="dxa"/>
              <w:right w:w="120.0" w:type="dxa"/>
              <w:start w:type="dxa" w:w="120"/>
              <w:end w:type="dxa" w:w="120"/>
            </w:tcMar>
            <w:vAlign w:val="center"/>
            <w:tcW w:type="dxa" w:w="2345"/>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80" w:type="dxa"/>
              <w:left w:w="120.0" w:type="dxa"/>
              <w:bottom w:w="80" w:type="dxa"/>
              <w:right w:w="120.0" w:type="dxa"/>
              <w:start w:type="dxa" w:w="120"/>
              <w:end w:type="dxa" w:w="120"/>
            </w:tcMar>
            <w:vAlign w:val="center"/>
            <w:tcW w:type="dxa" w:w="2268"/>
          </w:tcPr>
          <w:p w14:paraId="000000B1">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Run 终态完整率</w:t>
            </w:r>
          </w:p>
        </w:tc>
        <w:tc>
          <w:tcPr>
            <w:tcBorders>
              <w:top w:color="ffffff" w:space="0" w:sz="8" w:val="single"/>
              <w:left w:color="ffffff" w:space="0" w:sz="8" w:val="single"/>
              <w:bottom w:color="ffffff" w:space="0" w:sz="8" w:val="single"/>
              <w:right w:color="ffffff" w:space="0" w:sz="8" w:val="single"/>
            </w:tcBorders>
            <w:shd w:fill="ffffff" w:val="clear"/>
            <w:tcMar>
              <w:top w:w="80" w:type="dxa"/>
              <w:left w:w="120.0" w:type="dxa"/>
              <w:bottom w:w="80" w:type="dxa"/>
              <w:right w:w="120.0" w:type="dxa"/>
              <w:start w:type="dxa" w:w="120"/>
              <w:end w:type="dxa" w:w="120"/>
            </w:tcMar>
            <w:vAlign w:val="center"/>
            <w:tcW w:type="dxa" w:w="3521"/>
          </w:tcPr>
          <w:p w14:paraId="000000B2">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提议目标 100%；任何无终态且租约过期的 Run 告警。</w:t>
            </w:r>
          </w:p>
        </w:tc>
        <w:tc>
          <w:tcPr>
            <w:tcBorders>
              <w:top w:color="ffffff" w:space="0" w:sz="8" w:val="single"/>
              <w:left w:color="ffffff" w:space="0" w:sz="8" w:val="single"/>
              <w:bottom w:color="ffffff" w:space="0" w:sz="8" w:val="single"/>
              <w:right w:color="ffffff" w:space="0" w:sz="8" w:val="single"/>
            </w:tcBorders>
            <w:shd w:fill="ffffff" w:val="clear"/>
            <w:tcMar>
              <w:top w:w="80" w:type="dxa"/>
              <w:left w:w="120.0" w:type="dxa"/>
              <w:bottom w:w="80" w:type="dxa"/>
              <w:right w:w="120.0" w:type="dxa"/>
              <w:start w:type="dxa" w:w="120"/>
              <w:end w:type="dxa" w:w="120"/>
            </w:tcMar>
            <w:vAlign w:val="center"/>
            <w:tcW w:type="dxa" w:w="2306"/>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Platform</w:t>
            </w:r>
          </w:p>
        </w:tc>
        <w:tc>
          <w:tcPr>
            <w:tcBorders>
              <w:top w:color="ffffff" w:space="0" w:sz="8" w:val="single"/>
              <w:left w:color="ffffff" w:space="0" w:sz="8" w:val="single"/>
              <w:bottom w:color="ffffff" w:space="0" w:sz="8" w:val="single"/>
              <w:right w:color="ffffff" w:space="0" w:sz="8" w:val="single"/>
            </w:tcBorders>
            <w:shd w:fill="ffffff" w:val="clear"/>
            <w:tcMar>
              <w:top w:w="80" w:type="dxa"/>
              <w:left w:w="120.0" w:type="dxa"/>
              <w:bottom w:w="80" w:type="dxa"/>
              <w:right w:w="120.0" w:type="dxa"/>
              <w:start w:type="dxa" w:w="120"/>
              <w:end w:type="dxa" w:w="120"/>
            </w:tcMar>
            <w:vAlign w:val="center"/>
            <w:tcW w:type="dxa" w:w="2345"/>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8"/>
                <w:szCs w:val="18"/>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80" w:type="dxa"/>
              <w:left w:w="120.0" w:type="dxa"/>
              <w:bottom w:w="80" w:type="dxa"/>
              <w:right w:w="120.0" w:type="dxa"/>
              <w:start w:type="dxa" w:w="120"/>
              <w:end w:type="dxa" w:w="120"/>
            </w:tcMar>
            <w:vAlign w:val="center"/>
            <w:tcW w:type="dxa" w:w="2268"/>
          </w:tcPr>
          <w:p w14:paraId="000000B5">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事件可见延迟</w:t>
            </w:r>
          </w:p>
        </w:tc>
        <w:tc>
          <w:tcPr>
            <w:tcBorders>
              <w:top w:color="ffffff" w:space="0" w:sz="8" w:val="single"/>
              <w:left w:color="ffffff" w:space="0" w:sz="8" w:val="single"/>
              <w:bottom w:color="ffffff" w:space="0" w:sz="8" w:val="single"/>
              <w:right w:color="ffffff" w:space="0" w:sz="8" w:val="single"/>
            </w:tcBorders>
            <w:shd w:fill="f6f9fc" w:val="clear"/>
            <w:tcMar>
              <w:top w:w="80" w:type="dxa"/>
              <w:left w:w="120.0" w:type="dxa"/>
              <w:bottom w:w="80" w:type="dxa"/>
              <w:right w:w="120.0" w:type="dxa"/>
              <w:start w:type="dxa" w:w="120"/>
              <w:end w:type="dxa" w:w="120"/>
            </w:tcMar>
            <w:vAlign w:val="center"/>
            <w:tcW w:type="dxa" w:w="3521"/>
          </w:tcPr>
          <w:p w14:paraId="000000B6">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MVP 提议 p95 &lt; 2 秒；连续 10 分钟超标告警。</w:t>
            </w:r>
          </w:p>
        </w:tc>
        <w:tc>
          <w:tcPr>
            <w:tcBorders>
              <w:top w:color="ffffff" w:space="0" w:sz="8" w:val="single"/>
              <w:left w:color="ffffff" w:space="0" w:sz="8" w:val="single"/>
              <w:bottom w:color="ffffff" w:space="0" w:sz="8" w:val="single"/>
              <w:right w:color="ffffff" w:space="0" w:sz="8" w:val="single"/>
            </w:tcBorders>
            <w:shd w:fill="f6f9fc" w:val="clear"/>
            <w:tcMar>
              <w:top w:w="80" w:type="dxa"/>
              <w:left w:w="120.0" w:type="dxa"/>
              <w:bottom w:w="80" w:type="dxa"/>
              <w:right w:w="120.0" w:type="dxa"/>
              <w:start w:type="dxa" w:w="120"/>
              <w:end w:type="dxa" w:w="120"/>
            </w:tcMar>
            <w:vAlign w:val="center"/>
            <w:tcW w:type="dxa" w:w="2306"/>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Web / Platform</w:t>
            </w:r>
          </w:p>
        </w:tc>
        <w:tc>
          <w:tcPr>
            <w:tcBorders>
              <w:top w:color="ffffff" w:space="0" w:sz="8" w:val="single"/>
              <w:left w:color="ffffff" w:space="0" w:sz="8" w:val="single"/>
              <w:bottom w:color="ffffff" w:space="0" w:sz="8" w:val="single"/>
              <w:right w:color="ffffff" w:space="0" w:sz="8" w:val="single"/>
            </w:tcBorders>
            <w:shd w:fill="f6f9fc" w:val="clear"/>
            <w:tcMar>
              <w:top w:w="80" w:type="dxa"/>
              <w:left w:w="120.0" w:type="dxa"/>
              <w:bottom w:w="80" w:type="dxa"/>
              <w:right w:w="120.0" w:type="dxa"/>
              <w:start w:type="dxa" w:w="120"/>
              <w:end w:type="dxa" w:w="120"/>
            </w:tcMar>
            <w:vAlign w:val="center"/>
            <w:tcW w:type="dxa" w:w="2345"/>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8"/>
                <w:szCs w:val="18"/>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80" w:type="dxa"/>
              <w:left w:w="120.0" w:type="dxa"/>
              <w:bottom w:w="80" w:type="dxa"/>
              <w:right w:w="120.0" w:type="dxa"/>
              <w:start w:type="dxa" w:w="120"/>
              <w:end w:type="dxa" w:w="120"/>
            </w:tcMar>
            <w:vAlign w:val="center"/>
            <w:tcW w:type="dxa" w:w="2268"/>
          </w:tcPr>
          <w:p w14:paraId="000000B9">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Adapter 归一化失败率</w:t>
            </w:r>
          </w:p>
        </w:tc>
        <w:tc>
          <w:tcPr>
            <w:tcBorders>
              <w:top w:color="ffffff" w:space="0" w:sz="8" w:val="single"/>
              <w:left w:color="ffffff" w:space="0" w:sz="8" w:val="single"/>
              <w:bottom w:color="ffffff" w:space="0" w:sz="8" w:val="single"/>
              <w:right w:color="ffffff" w:space="0" w:sz="8" w:val="single"/>
            </w:tcBorders>
            <w:shd w:fill="ffffff" w:val="clear"/>
            <w:tcMar>
              <w:top w:w="80" w:type="dxa"/>
              <w:left w:w="120.0" w:type="dxa"/>
              <w:bottom w:w="80" w:type="dxa"/>
              <w:right w:w="120.0" w:type="dxa"/>
              <w:start w:type="dxa" w:w="120"/>
              <w:end w:type="dxa" w:w="120"/>
            </w:tcMar>
            <w:vAlign w:val="center"/>
            <w:tcW w:type="dxa" w:w="3521"/>
          </w:tcPr>
          <w:p w14:paraId="000000BA">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提议 &lt; 0.5%；未知必需事件立即隔离 Adapter 版本。</w:t>
            </w:r>
          </w:p>
        </w:tc>
        <w:tc>
          <w:tcPr>
            <w:tcBorders>
              <w:top w:color="ffffff" w:space="0" w:sz="8" w:val="single"/>
              <w:left w:color="ffffff" w:space="0" w:sz="8" w:val="single"/>
              <w:bottom w:color="ffffff" w:space="0" w:sz="8" w:val="single"/>
              <w:right w:color="ffffff" w:space="0" w:sz="8" w:val="single"/>
            </w:tcBorders>
            <w:shd w:fill="ffffff" w:val="clear"/>
            <w:tcMar>
              <w:top w:w="80" w:type="dxa"/>
              <w:left w:w="120.0" w:type="dxa"/>
              <w:bottom w:w="80" w:type="dxa"/>
              <w:right w:w="120.0" w:type="dxa"/>
              <w:start w:type="dxa" w:w="120"/>
              <w:end w:type="dxa" w:w="120"/>
            </w:tcMar>
            <w:vAlign w:val="center"/>
            <w:tcW w:type="dxa" w:w="2306"/>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Runtime Integrations</w:t>
            </w:r>
          </w:p>
        </w:tc>
        <w:tc>
          <w:tcPr>
            <w:tcBorders>
              <w:top w:color="ffffff" w:space="0" w:sz="8" w:val="single"/>
              <w:left w:color="ffffff" w:space="0" w:sz="8" w:val="single"/>
              <w:bottom w:color="ffffff" w:space="0" w:sz="8" w:val="single"/>
              <w:right w:color="ffffff" w:space="0" w:sz="8" w:val="single"/>
            </w:tcBorders>
            <w:shd w:fill="ffffff" w:val="clear"/>
            <w:tcMar>
              <w:top w:w="80" w:type="dxa"/>
              <w:left w:w="120.0" w:type="dxa"/>
              <w:bottom w:w="80" w:type="dxa"/>
              <w:right w:w="120.0" w:type="dxa"/>
              <w:start w:type="dxa" w:w="120"/>
              <w:end w:type="dxa" w:w="120"/>
            </w:tcMar>
            <w:vAlign w:val="center"/>
            <w:tcW w:type="dxa" w:w="2345"/>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8"/>
                <w:szCs w:val="18"/>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80" w:type="dxa"/>
              <w:left w:w="120.0" w:type="dxa"/>
              <w:bottom w:w="80" w:type="dxa"/>
              <w:right w:w="120.0" w:type="dxa"/>
              <w:start w:type="dxa" w:w="120"/>
              <w:end w:type="dxa" w:w="120"/>
            </w:tcMar>
            <w:vAlign w:val="center"/>
            <w:tcW w:type="dxa" w:w="2268"/>
          </w:tcPr>
          <w:p w14:paraId="000000BD">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契约或能力漂移</w:t>
            </w:r>
          </w:p>
        </w:tc>
        <w:tc>
          <w:tcPr>
            <w:tcBorders>
              <w:top w:color="ffffff" w:space="0" w:sz="8" w:val="single"/>
              <w:left w:color="ffffff" w:space="0" w:sz="8" w:val="single"/>
              <w:bottom w:color="ffffff" w:space="0" w:sz="8" w:val="single"/>
              <w:right w:color="ffffff" w:space="0" w:sz="8" w:val="single"/>
            </w:tcBorders>
            <w:shd w:fill="f6f9fc" w:val="clear"/>
            <w:tcMar>
              <w:top w:w="80" w:type="dxa"/>
              <w:left w:w="120.0" w:type="dxa"/>
              <w:bottom w:w="80" w:type="dxa"/>
              <w:right w:w="120.0" w:type="dxa"/>
              <w:start w:type="dxa" w:w="120"/>
              <w:end w:type="dxa" w:w="120"/>
            </w:tcMar>
            <w:vAlign w:val="center"/>
            <w:tcW w:type="dxa" w:w="3521"/>
          </w:tcPr>
          <w:p w14:paraId="000000BE">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Provider/Adapter/schema 未通过 conformance 时阻止新 Run。</w:t>
            </w:r>
          </w:p>
        </w:tc>
        <w:tc>
          <w:tcPr>
            <w:tcBorders>
              <w:top w:color="ffffff" w:space="0" w:sz="8" w:val="single"/>
              <w:left w:color="ffffff" w:space="0" w:sz="8" w:val="single"/>
              <w:bottom w:color="ffffff" w:space="0" w:sz="8" w:val="single"/>
              <w:right w:color="ffffff" w:space="0" w:sz="8" w:val="single"/>
            </w:tcBorders>
            <w:shd w:fill="f6f9fc" w:val="clear"/>
            <w:tcMar>
              <w:top w:w="80" w:type="dxa"/>
              <w:left w:w="120.0" w:type="dxa"/>
              <w:bottom w:w="80" w:type="dxa"/>
              <w:right w:w="120.0" w:type="dxa"/>
              <w:start w:type="dxa" w:w="120"/>
              <w:end w:type="dxa" w:w="120"/>
            </w:tcMar>
            <w:vAlign w:val="center"/>
            <w:tcW w:type="dxa" w:w="2306"/>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Runtime Integrations</w:t>
            </w:r>
          </w:p>
        </w:tc>
        <w:tc>
          <w:tcPr>
            <w:tcBorders>
              <w:top w:color="ffffff" w:space="0" w:sz="8" w:val="single"/>
              <w:left w:color="ffffff" w:space="0" w:sz="8" w:val="single"/>
              <w:bottom w:color="ffffff" w:space="0" w:sz="8" w:val="single"/>
              <w:right w:color="ffffff" w:space="0" w:sz="8" w:val="single"/>
            </w:tcBorders>
            <w:shd w:fill="f6f9fc" w:val="clear"/>
            <w:tcMar>
              <w:top w:w="80" w:type="dxa"/>
              <w:left w:w="120.0" w:type="dxa"/>
              <w:bottom w:w="80" w:type="dxa"/>
              <w:right w:w="120.0" w:type="dxa"/>
              <w:start w:type="dxa" w:w="120"/>
              <w:end w:type="dxa" w:w="120"/>
            </w:tcMar>
            <w:vAlign w:val="center"/>
            <w:tcW w:type="dxa" w:w="2345"/>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8"/>
                <w:szCs w:val="18"/>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80" w:type="dxa"/>
              <w:left w:w="120.0" w:type="dxa"/>
              <w:bottom w:w="80" w:type="dxa"/>
              <w:right w:w="120.0" w:type="dxa"/>
              <w:start w:type="dxa" w:w="120"/>
              <w:end w:type="dxa" w:w="120"/>
            </w:tcMar>
            <w:vAlign w:val="center"/>
            <w:tcW w:type="dxa" w:w="2268"/>
          </w:tcPr>
          <w:p w14:paraId="000000C1">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Replay 完整性</w:t>
            </w:r>
          </w:p>
        </w:tc>
        <w:tc>
          <w:tcPr>
            <w:tcBorders>
              <w:top w:color="ffffff" w:space="0" w:sz="8" w:val="single"/>
              <w:left w:color="ffffff" w:space="0" w:sz="8" w:val="single"/>
              <w:bottom w:color="ffffff" w:space="0" w:sz="8" w:val="single"/>
              <w:right w:color="ffffff" w:space="0" w:sz="8" w:val="single"/>
            </w:tcBorders>
            <w:shd w:fill="ffffff" w:val="clear"/>
            <w:tcMar>
              <w:top w:w="80" w:type="dxa"/>
              <w:left w:w="120.0" w:type="dxa"/>
              <w:bottom w:w="80" w:type="dxa"/>
              <w:right w:w="120.0" w:type="dxa"/>
              <w:start w:type="dxa" w:w="120"/>
              <w:end w:type="dxa" w:w="120"/>
            </w:tcMar>
            <w:vAlign w:val="center"/>
            <w:tcW w:type="dxa" w:w="3521"/>
          </w:tcPr>
          <w:p w14:paraId="000000C2">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每日抽样重建；canonical snapshot 必须一致。</w:t>
            </w:r>
          </w:p>
        </w:tc>
        <w:tc>
          <w:tcPr>
            <w:tcBorders>
              <w:top w:color="ffffff" w:space="0" w:sz="8" w:val="single"/>
              <w:left w:color="ffffff" w:space="0" w:sz="8" w:val="single"/>
              <w:bottom w:color="ffffff" w:space="0" w:sz="8" w:val="single"/>
              <w:right w:color="ffffff" w:space="0" w:sz="8" w:val="single"/>
            </w:tcBorders>
            <w:shd w:fill="ffffff" w:val="clear"/>
            <w:tcMar>
              <w:top w:w="80" w:type="dxa"/>
              <w:left w:w="120.0" w:type="dxa"/>
              <w:bottom w:w="80" w:type="dxa"/>
              <w:right w:w="120.0" w:type="dxa"/>
              <w:start w:type="dxa" w:w="120"/>
              <w:end w:type="dxa" w:w="120"/>
            </w:tcMar>
            <w:vAlign w:val="center"/>
            <w:tcW w:type="dxa" w:w="2306"/>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Platform</w:t>
            </w:r>
          </w:p>
        </w:tc>
        <w:tc>
          <w:tcPr>
            <w:tcBorders>
              <w:top w:color="ffffff" w:space="0" w:sz="8" w:val="single"/>
              <w:left w:color="ffffff" w:space="0" w:sz="8" w:val="single"/>
              <w:bottom w:color="ffffff" w:space="0" w:sz="8" w:val="single"/>
              <w:right w:color="ffffff" w:space="0" w:sz="8" w:val="single"/>
            </w:tcBorders>
            <w:shd w:fill="ffffff" w:val="clear"/>
            <w:tcMar>
              <w:top w:w="80" w:type="dxa"/>
              <w:left w:w="120.0" w:type="dxa"/>
              <w:bottom w:w="80" w:type="dxa"/>
              <w:right w:w="120.0" w:type="dxa"/>
              <w:start w:type="dxa" w:w="120"/>
              <w:end w:type="dxa" w:w="120"/>
            </w:tcMar>
            <w:vAlign w:val="center"/>
            <w:tcW w:type="dxa" w:w="2345"/>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8"/>
                <w:szCs w:val="18"/>
                <w:rtl w:val="0"/>
              </w:rP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80" w:type="dxa"/>
              <w:left w:w="120.0" w:type="dxa"/>
              <w:bottom w:w="80" w:type="dxa"/>
              <w:right w:w="120.0" w:type="dxa"/>
              <w:start w:type="dxa" w:w="120"/>
              <w:end w:type="dxa" w:w="120"/>
            </w:tcMar>
            <w:vAlign w:val="center"/>
            <w:tcW w:type="dxa" w:w="10440"/>
          </w:tcPr>
          <w:p w14:paraId="000000C5">
            <w:pPr>
              <w:spacing w:after="25" w:before="20" w:line="285" w:lineRule="auto"/>
              <w:rPr>
                <w:rFonts w:ascii="Helvetica Neue" w:cs="Helvetica Neue" w:eastAsia="Helvetica Neue" w:hAnsi="Helvetica Neue"/>
              </w:rPr>
            </w:pPr>
            <w:r>
              <w:rPr>
                <w:rFonts w:ascii="Noto Sans SC" w:cs="Noto Sans SC" w:eastAsia="Noto Sans SC" w:hAnsi="Noto Sans SC"/>
                <w:color w:val="082a4a"/>
                <w:rtl w:val="0"/>
                <w:sz w:val="18"/>
                <w:szCs w:val="18"/>
                <w:lang w:eastAsia="zh-CN"/>
              </w:rPr>
              <w:t>Rollout constraint: M1 仅 mock + 单 Runner；Adapter 必须通过录制回放、故障注入、审批和断线恢复测试后，才能按项目白名单启用。</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Noto Sans SC" w:cs="Noto Sans SC" w:eastAsia="Noto Sans SC" w:hAnsi="Noto Sans SC"/>
          <w:rtl w:val="0"/>
          <w:lang w:eastAsia="zh-CN"/>
        </w:rPr>
        <w:t>10.  备选方案</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type="dxa" w:w="120"/>
      </w:tblPr>
      <w:tblGrid>
        <w:gridCol w:w="3303"/>
        <w:gridCol w:w="3313"/>
        <w:gridCol w:w="3824"/>
        <w:tblGridChange w:id="0">
          <w:tblGrid>
            <w:gridCol w:w="3303"/>
            <w:gridCol w:w="3313"/>
            <w:gridCol w:w="3824"/>
          </w:tblGrid>
        </w:tblGridChange>
      </w:tblGrid>
      <w:tr>
        <w:trPr>
          <w:cantSplit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3303"/>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3313"/>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3824"/>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3303"/>
          </w:tcPr>
          <w:p w14:paraId="000000D0">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统一采用 Codex app-server</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313"/>
          </w:tcPr>
          <w:p w14:paraId="000000D1">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最快获得丰富 Thread、事件和审批能力。</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824"/>
          </w:tcPr>
          <w:p w14:paraId="000000D2">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把业务状态和 UI 锁定在单一供应商协议。</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3303"/>
          </w:tcPr>
          <w:p w14:paraId="000000D3">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直接把 ACP 作为通用协议</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313"/>
          </w:tcPr>
          <w:p w14:paraId="000000D4">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Kimi 等已支持，IDE 生态友好。</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824"/>
          </w:tcPr>
          <w:p w14:paraId="000000D5">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并非所有 Runtime 支持；审批、产物、子 Agent 语义不足以覆盖全部需求。</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3303"/>
          </w:tcPr>
          <w:p w14:paraId="000000D6">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把多个 Runtime 源码合并为一个 Fork</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313"/>
          </w:tcPr>
          <w:p w14:paraId="000000D7">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可直接访问内部状态并深度定制。</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824"/>
          </w:tcPr>
          <w:p w14:paraId="000000D8">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升级冲突和安全责任过大；SpineCodex 已说明这种维护成本。</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3303"/>
          </w:tcPr>
          <w:p w14:paraId="000000D9">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首日微服务 + Kafka</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313"/>
          </w:tcPr>
          <w:p w14:paraId="000000DA">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边界清晰，理论上易水平扩展。</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824"/>
          </w:tcPr>
          <w:p w14:paraId="000000DB">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Web MVP 规模不需要；先用模块化单体 + Outbox 保留演进路径。</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Noto Sans SC" w:cs="Noto Sans SC" w:eastAsia="Noto Sans SC" w:hAnsi="Noto Sans SC"/>
          <w:rtl w:val="0"/>
          <w:lang w:eastAsia="zh-CN"/>
        </w:rPr>
        <w:t>11.  待决问题</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M1 的首个真实 Adapter 选择 DeepSeek Harness + Codex，还是 DeepSeek Harness + Claude Code？</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首批用户只运行本地 Runner，还是同时支持托管远程 Workspace？</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Provider Raw Event 的默认保留期、脱敏规则和用户导出范围如何确定？</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Noto Sans SC" w:cs="Noto Sans SC" w:eastAsia="Noto Sans SC" w:hAnsi="Noto Sans SC"/>
          <w:i w:val="0"/>
          <w:iCs w:val="0"/>
          <w:smallCaps w:val="0"/>
          <w:strike w:val="0"/>
          <w:color w:val="233447"/>
          <w:sz w:val="20"/>
          <w:szCs w:val="20"/>
          <w:u w:val="none"/>
          <w:shd w:fill="auto" w:val="clear"/>
          <w:vertAlign w:val="baseline"/>
          <w:rtl w:val="0"/>
          <w:lang w:eastAsia="zh-CN"/>
        </w:rPr>
        <w:t>ZCode 的公开自动化协议与版本承诺尚需 spike；不足时是否接受仅 headless CLI 的降级 Adapter？</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Noto Sans SC" w:cs="Noto Sans SC" w:eastAsia="Noto Sans SC" w:hAnsi="Noto Sans SC"/>
          <w:rtl w:val="0"/>
          <w:lang w:eastAsia="zh-CN"/>
        </w:rPr>
        <w:t>12.  决策与后续步骤</w:t>
      </w:r>
    </w:p>
    <w:p w14:paraId="000000E4">
      <w:pPr>
        <w:spacing w:after="110" w:line="300" w:lineRule="auto"/>
        <w:jc w:val="both"/>
        <w:rPr>
          <w:rFonts w:ascii="Helvetica Neue" w:cs="Helvetica Neue" w:eastAsia="Helvetica Neue" w:hAnsi="Helvetica Neue"/>
        </w:rPr>
      </w:pPr>
      <w:r>
        <w:rPr>
          <w:rFonts w:ascii="Noto Sans SC" w:cs="Noto Sans SC" w:eastAsia="Noto Sans SC" w:hAnsi="Noto Sans SC"/>
          <w:color w:val="233447"/>
          <w:rtl w:val="0"/>
          <w:lang w:eastAsia="zh-CN"/>
        </w:rPr>
        <w:t>采用 Web-first 模块化单体控制平面，并把 Runtime Bridge 设为独立、版本化、可做 conformance testing 的模块边界。首期先证明领域模型、事件持久化和一个本地 Runner，不追求 Provider 全覆盖。角色定义与 Runtime 彻底解耦：PM、Architect、UI、Developer、Reviewer 是持久 AgentProfile；每次 Run 可选择 preferred/fallback Runtime，但任务完成必须经过 Review 与人工验收门。</w:t>
      </w:r>
    </w:p>
    <w:tbl>
      <w:tblPr>
        <w:tblStyle w:val="Table9"/>
        <w:tblW w:w="104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Ind w:type="dxa" w:w="120"/>
      </w:tblPr>
      <w:tblGrid>
        <w:gridCol w:w="2954"/>
        <w:gridCol w:w="3713"/>
        <w:gridCol w:w="3773"/>
        <w:tblGridChange w:id="0">
          <w:tblGrid>
            <w:gridCol w:w="2954"/>
            <w:gridCol w:w="3713"/>
            <w:gridCol w:w="3773"/>
          </w:tblGrid>
        </w:tblGridChange>
      </w:tblGrid>
      <w:tr>
        <w:trPr>
          <w:cantSplit w:val="1"/>
          <w:tblHeader w:val="true"/>
        </w:trPr>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2954"/>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3713"/>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p>
        </w:tc>
        <w:tc>
          <w:tcPr>
            <w:tcBorders>
              <w:top w:color="ffffff" w:space="0" w:sz="6" w:val="single"/>
              <w:left w:color="ffffff" w:space="0" w:sz="6" w:val="single"/>
              <w:bottom w:color="ffffff" w:space="0" w:sz="6" w:val="single"/>
              <w:right w:color="ffffff" w:space="0" w:sz="6" w:val="single"/>
            </w:tcBorders>
            <w:shd w:fill="082a4a" w:val="clear"/>
            <w:tcMar>
              <w:top w:w="80" w:type="dxa"/>
              <w:left w:w="120.0" w:type="dxa"/>
              <w:bottom w:w="80" w:type="dxa"/>
              <w:right w:w="120.0" w:type="dxa"/>
              <w:start w:type="dxa" w:w="120"/>
              <w:end w:type="dxa" w:w="120"/>
            </w:tcMar>
            <w:vAlign w:val="center"/>
            <w:tcW w:type="dxa" w:w="3773"/>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954"/>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M1</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713"/>
          </w:tcPr>
          <w:p w14:paraId="000000E9">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Web 看板、领域模型、Canonical Contract、Mock Adapter、SSE 时间线。</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773"/>
          </w:tcPr>
          <w:p w14:paraId="000000EA">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WorkItem/Run 分离；幂等、游标补发和状态机测试通过。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954"/>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M2</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713"/>
          </w:tcPr>
          <w:p w14:paraId="000000EC">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本地 Runner；DeepSeek Harness + Codex/Claude 两个真实 Adapter。</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773"/>
          </w:tcPr>
          <w:p w14:paraId="000000ED">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同一任务跨 Runtime 重试；审批、取消、失联和恢复验收通过。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954"/>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M3</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713"/>
          </w:tcPr>
          <w:p w14:paraId="000000EF">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Kimi ACP/Web Adapter；角色团队、依赖调度、Review/Artifact 门。</w:t>
            </w:r>
          </w:p>
        </w:tc>
        <w:tc>
          <w:tcPr>
            <w:tcBorders>
              <w:top w:color="ffffff" w:space="0" w:sz="6" w:val="single"/>
              <w:left w:color="ffffff" w:space="0" w:sz="6" w:val="single"/>
              <w:bottom w:color="ffffff" w:space="0" w:sz="6" w:val="single"/>
              <w:right w:color="ffffff" w:space="0" w:sz="6" w:val="single"/>
            </w:tcBorders>
            <w:shd w:fill="ffffff" w:val="clear"/>
            <w:tcMar>
              <w:top w:w="80" w:type="dxa"/>
              <w:left w:w="120.0" w:type="dxa"/>
              <w:bottom w:w="80" w:type="dxa"/>
              <w:right w:w="120.0" w:type="dxa"/>
              <w:start w:type="dxa" w:w="120"/>
              <w:end w:type="dxa" w:w="120"/>
            </w:tcMar>
            <w:vAlign w:val="center"/>
            <w:tcW w:type="dxa" w:w="3773"/>
          </w:tcPr>
          <w:p w14:paraId="000000F0">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PM→架构/UI→开发→Reviewer 的真实项目闭环通过。</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80" w:type="dxa"/>
              <w:left w:w="120.0" w:type="dxa"/>
              <w:bottom w:w="80" w:type="dxa"/>
              <w:right w:w="120.0" w:type="dxa"/>
              <w:start w:type="dxa" w:w="120"/>
              <w:end w:type="dxa" w:w="120"/>
            </w:tcMar>
            <w:vAlign w:val="center"/>
            <w:tcW w:type="dxa" w:w="2954"/>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sz w:val="18"/>
                <w:szCs w:val="18"/>
              </w:rPr>
              <w:t>M4</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713"/>
          </w:tcPr>
          <w:p w14:paraId="000000F2">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ZCode/SpineCodex 等扩展 Adapter；远程 Runner 与规模化运维。</w:t>
            </w:r>
          </w:p>
        </w:tc>
        <w:tc>
          <w:tcPr>
            <w:tcBorders>
              <w:top w:color="ffffff" w:space="0" w:sz="6" w:val="single"/>
              <w:left w:color="ffffff" w:space="0" w:sz="6" w:val="single"/>
              <w:bottom w:color="ffffff" w:space="0" w:sz="6" w:val="single"/>
              <w:right w:color="ffffff" w:space="0" w:sz="6" w:val="single"/>
            </w:tcBorders>
            <w:shd w:fill="f6f9fc" w:val="clear"/>
            <w:tcMar>
              <w:top w:w="80" w:type="dxa"/>
              <w:left w:w="120.0" w:type="dxa"/>
              <w:bottom w:w="80" w:type="dxa"/>
              <w:right w:w="120.0" w:type="dxa"/>
              <w:start w:type="dxa" w:w="120"/>
              <w:end w:type="dxa" w:w="120"/>
            </w:tcMar>
            <w:vAlign w:val="center"/>
            <w:tcW w:type="dxa" w:w="3773"/>
          </w:tcPr>
          <w:p w14:paraId="000000F3">
            <w:pPr>
              <w:spacing w:after="25" w:before="20" w:line="285" w:lineRule="auto"/>
              <w:rPr>
                <w:rFonts w:ascii="Helvetica Neue" w:cs="Helvetica Neue" w:eastAsia="Helvetica Neue" w:hAnsi="Helvetica Neue"/>
              </w:rPr>
            </w:pPr>
            <w:r>
              <w:rPr>
                <w:rFonts w:ascii="Noto Sans SC" w:cs="Noto Sans SC" w:eastAsia="Noto Sans SC" w:hAnsi="Noto Sans SC"/>
                <w:color w:val="233447"/>
                <w:rtl w:val="0"/>
                <w:lang w:eastAsia="zh-CN"/>
                <w:sz w:val="18"/>
                <w:szCs w:val="18"/>
              </w:rPr>
              <w:t>Conformance、SLO、回滚、权限审计及兼容矩阵达标。</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C">
    <w:embedRegular w:fontKey="{00000000-0000-0000-0000-000000000000}" r:id="rId9" w:subsetted="1"/>
    <w:embedBold w:fontKey="{00000000-0000-0000-0000-000000000000}" r:id="rId10" w:subsetted="1"/>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Agent Team Workbench | System Design RFC</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Runtime Bridge guarantees only minimal lifecycle semantics; provider-specific capabilities remain versioned extensions and are never silently downgraded.</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 Id="rId9" Type="http://schemas.openxmlformats.org/officeDocument/2006/relationships/font" Target="fonts/NotoSansSC-400.ttf"/><Relationship Id="rId10" Type="http://schemas.openxmlformats.org/officeDocument/2006/relationships/font" Target="fonts/NotoSansSC-700.ttf"/></Relationships>
</file>

<file path=word/fonts/NotoSansSC-OFL.txt>Copyright 2014-2021 Adobe (http://www.adobe.com/), with Reserved Font Name 'Source'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