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河流栖息地水样监测：银桥河段监测点</w:t>
      </w:r>
    </w:p>
    <w:p>
      <w:r>
        <w:t xml:space="preserve">修订版本：v1。记录编号：EV-HAB-04。 Revision v1. Record EV-HAB-04.</w:t>
      </w:r>
    </w:p>
    <w:p>
      <w:r>
        <w:t xml:space="preserve">地点：银桥河段监测点；设备：河段采样点D。 Site: Silver Bridge River Reach; asset: river-reach sampling point D.</w:t>
      </w:r>
    </w:p>
    <w:p>
      <w:r>
        <w:t xml:space="preserve">记录 EV-HAB-04：银桥 河段浊度参考值 5.0 NTU；16 分钟内复核。</w:t>
      </w:r>
    </w:p>
    <w:p>
      <w:r>
        <w:t xml:space="preserve">EV-HAB-04 Silver Bridge: reference turbidity for the river reach 5.0 NTU; review within 16 min.</w:t>
      </w:r>
    </w:p>
    <w:p>
      <w:r>
        <w:t xml:space="preserve">设备重启后，超过参考值时加采上游对照样本；读数记入 HABITAT-LOG-094。</w:t>
      </w:r>
    </w:p>
    <w:p>
      <w:r>
        <w:t xml:space="preserve">after equipment restart, collect an upstream comparison sample when above the reference value; log readings in HABITAT-LOG-094.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