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F0D08">
      <w:pPr>
        <w:spacing w:before="156" w:beforeLines="50"/>
        <w:ind w:firstLine="6720" w:firstLineChars="2400"/>
        <w:rPr>
          <w:rFonts w:hint="eastAsia" w:ascii="宋体" w:hAnsi="宋体" w:eastAsia="宋体" w:cs="宋体"/>
          <w:sz w:val="28"/>
          <w:szCs w:val="28"/>
          <w:u w:val="single"/>
        </w:rPr>
      </w:pP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    </w:t>
      </w:r>
    </w:p>
    <w:p w14:paraId="2963D867">
      <w:pPr>
        <w:ind w:firstLine="5301" w:firstLineChars="2400"/>
        <w:rPr>
          <w:rFonts w:hint="eastAsia" w:ascii="宋体" w:hAnsi="宋体" w:eastAsia="宋体" w:cs="宋体"/>
          <w:b/>
          <w:bCs/>
          <w:szCs w:val="21"/>
          <w:u w:val="single"/>
        </w:rPr>
      </w:pPr>
    </w:p>
    <w:p w14:paraId="7671C1DA">
      <w:pPr>
        <w:rPr>
          <w:rFonts w:hint="eastAsia" w:ascii="宋体" w:hAnsi="宋体" w:eastAsia="宋体" w:cs="宋体"/>
          <w:b/>
          <w:bCs/>
        </w:rPr>
      </w:pPr>
    </w:p>
    <w:p w14:paraId="0526D19E">
      <w:pPr>
        <w:jc w:val="center"/>
        <w:rPr>
          <w:rFonts w:hint="eastAsia" w:ascii="宋体" w:hAnsi="宋体" w:eastAsia="宋体" w:cs="宋体"/>
          <w:b/>
          <w:bCs/>
          <w:sz w:val="28"/>
        </w:rPr>
      </w:pPr>
      <w:r>
        <w:rPr>
          <w:rFonts w:hint="eastAsia" w:ascii="宋体" w:hAnsi="宋体" w:eastAsia="宋体" w:cs="宋体"/>
          <w:b/>
          <w:sz w:val="28"/>
        </w:rPr>
        <w:drawing>
          <wp:inline distT="0" distB="0" distL="0" distR="0">
            <wp:extent cx="4601210" cy="810260"/>
            <wp:effectExtent l="0" t="0" r="1270" b="1270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3251">
      <w:pPr>
        <w:jc w:val="both"/>
        <w:rPr>
          <w:rFonts w:hint="eastAsia" w:ascii="宋体" w:hAnsi="宋体" w:eastAsia="宋体" w:cs="宋体"/>
          <w:b/>
          <w:bCs/>
        </w:rPr>
      </w:pPr>
    </w:p>
    <w:p w14:paraId="753F0EC3">
      <w:pPr>
        <w:jc w:val="center"/>
        <w:rPr>
          <w:rFonts w:hint="eastAsia" w:ascii="宋体" w:hAnsi="宋体" w:eastAsia="宋体" w:cs="宋体"/>
          <w:b/>
          <w:bCs/>
        </w:rPr>
      </w:pPr>
      <w:bookmarkStart w:id="0" w:name="_GoBack"/>
      <w:bookmarkEnd w:id="0"/>
    </w:p>
    <w:p w14:paraId="49EB8F47">
      <w:pPr>
        <w:tabs>
          <w:tab w:val="left" w:pos="3240"/>
        </w:tabs>
        <w:spacing w:before="50" w:after="50" w:line="360" w:lineRule="auto"/>
        <w:jc w:val="center"/>
        <w:rPr>
          <w:rFonts w:hint="eastAsia" w:ascii="宋体" w:hAnsi="宋体" w:eastAsia="宋体" w:cs="宋体"/>
          <w:spacing w:val="40"/>
          <w:sz w:val="64"/>
          <w:szCs w:val="64"/>
        </w:rPr>
      </w:pPr>
      <w:r>
        <w:rPr>
          <w:rFonts w:hint="eastAsia" w:ascii="宋体" w:hAnsi="宋体" w:eastAsia="宋体" w:cs="宋体"/>
          <w:b/>
          <w:sz w:val="64"/>
          <w:szCs w:val="64"/>
        </w:rPr>
        <w:t>实验报告</w:t>
      </w:r>
    </w:p>
    <w:p w14:paraId="3C48B1D7">
      <w:pPr>
        <w:jc w:val="center"/>
        <w:rPr>
          <w:rFonts w:hint="eastAsia" w:ascii="宋体" w:hAnsi="宋体" w:eastAsia="宋体" w:cs="宋体"/>
          <w:b/>
          <w:bCs/>
          <w:color w:val="auto"/>
          <w:sz w:val="32"/>
          <w:szCs w:val="24"/>
        </w:rPr>
      </w:pPr>
      <w:r>
        <w:rPr>
          <w:rFonts w:hint="eastAsia" w:ascii="宋体" w:hAnsi="宋体" w:eastAsia="宋体" w:cs="宋体"/>
          <w:i/>
          <w:color w:val="auto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i/>
          <w:color w:val="auto"/>
          <w:sz w:val="24"/>
          <w:szCs w:val="24"/>
        </w:rPr>
        <w:t>基于 TensorFlow Object Detection API 的图像与视频目标检测实验</w:t>
      </w:r>
    </w:p>
    <w:p w14:paraId="01A56413">
      <w:pPr>
        <w:rPr>
          <w:rFonts w:hint="eastAsia" w:ascii="宋体" w:hAnsi="宋体" w:eastAsia="宋体" w:cs="宋体"/>
          <w:b/>
          <w:bCs/>
          <w:sz w:val="28"/>
        </w:rPr>
      </w:pPr>
    </w:p>
    <w:p w14:paraId="40FCEC71">
      <w:pPr>
        <w:rPr>
          <w:rFonts w:hint="eastAsia" w:ascii="宋体" w:hAnsi="宋体" w:eastAsia="宋体" w:cs="宋体"/>
          <w:b/>
          <w:bCs/>
        </w:rPr>
      </w:pPr>
    </w:p>
    <w:tbl>
      <w:tblPr>
        <w:tblStyle w:val="32"/>
        <w:tblW w:w="7206" w:type="dxa"/>
        <w:tblInd w:w="1025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7"/>
        <w:gridCol w:w="4619"/>
      </w:tblGrid>
      <w:tr w14:paraId="3B12A25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2587" w:type="dxa"/>
          </w:tcPr>
          <w:p w14:paraId="42078617">
            <w:pPr>
              <w:jc w:val="distribute"/>
              <w:rPr>
                <w:rFonts w:hint="eastAsia" w:ascii="宋体" w:hAnsi="宋体" w:eastAsia="宋体" w:cs="宋体"/>
                <w:spacing w:val="30"/>
                <w:kern w:val="10"/>
                <w:sz w:val="30"/>
              </w:rPr>
            </w:pPr>
            <w:r>
              <w:rPr>
                <w:rFonts w:hint="eastAsia" w:ascii="宋体" w:hAnsi="宋体" w:eastAsia="宋体" w:cs="宋体"/>
                <w:spacing w:val="30"/>
                <w:kern w:val="10"/>
                <w:sz w:val="30"/>
              </w:rPr>
              <w:t xml:space="preserve"> 院（系）名称</w:t>
            </w:r>
          </w:p>
        </w:tc>
        <w:tc>
          <w:tcPr>
            <w:tcW w:w="4619" w:type="dxa"/>
            <w:tcBorders>
              <w:bottom w:val="single" w:color="auto" w:sz="4" w:space="0"/>
            </w:tcBorders>
            <w:vAlign w:val="center"/>
          </w:tcPr>
          <w:p w14:paraId="35AFF9E5">
            <w:pPr>
              <w:jc w:val="center"/>
              <w:rPr>
                <w:rFonts w:hint="eastAsia" w:ascii="宋体" w:hAnsi="宋体" w:eastAsia="宋体" w:cs="宋体"/>
                <w:spacing w:val="30"/>
                <w:kern w:val="10"/>
                <w:sz w:val="30"/>
              </w:rPr>
            </w:pPr>
            <w:r>
              <w:rPr>
                <w:rFonts w:hint="eastAsia" w:ascii="宋体" w:hAnsi="宋体" w:eastAsia="宋体" w:cs="宋体"/>
                <w:spacing w:val="30"/>
                <w:kern w:val="10"/>
                <w:sz w:val="30"/>
              </w:rPr>
              <w:t>交通科学与工程学院</w:t>
            </w:r>
          </w:p>
        </w:tc>
      </w:tr>
      <w:tr w14:paraId="3766520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87" w:type="dxa"/>
          </w:tcPr>
          <w:p w14:paraId="54EB4091">
            <w:pPr>
              <w:jc w:val="distribute"/>
              <w:rPr>
                <w:rFonts w:hint="eastAsia" w:ascii="宋体" w:hAnsi="宋体" w:eastAsia="宋体" w:cs="宋体"/>
                <w:spacing w:val="30"/>
                <w:kern w:val="10"/>
                <w:sz w:val="30"/>
              </w:rPr>
            </w:pPr>
            <w:r>
              <w:rPr>
                <w:rFonts w:hint="eastAsia" w:ascii="宋体" w:hAnsi="宋体" w:eastAsia="宋体" w:cs="宋体"/>
                <w:spacing w:val="30"/>
                <w:kern w:val="10"/>
                <w:sz w:val="30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0"/>
                <w:kern w:val="10"/>
                <w:sz w:val="30"/>
              </w:rPr>
              <w:t>学号</w:t>
            </w:r>
          </w:p>
        </w:tc>
        <w:tc>
          <w:tcPr>
            <w:tcW w:w="461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18EDC4">
            <w:pPr>
              <w:jc w:val="center"/>
              <w:rPr>
                <w:rFonts w:hint="eastAsia" w:ascii="宋体" w:hAnsi="宋体" w:eastAsia="宋体" w:cs="宋体"/>
                <w:spacing w:val="30"/>
                <w:kern w:val="10"/>
                <w:sz w:val="30"/>
              </w:rPr>
            </w:pPr>
            <w:r>
              <w:rPr>
                <w:rFonts w:hint="eastAsia" w:ascii="宋体" w:hAnsi="宋体" w:eastAsia="宋体" w:cs="宋体"/>
                <w:spacing w:val="30"/>
                <w:kern w:val="10"/>
                <w:sz w:val="30"/>
              </w:rPr>
              <w:t>23375325</w:t>
            </w:r>
          </w:p>
        </w:tc>
      </w:tr>
      <w:tr w14:paraId="7E566DE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2587" w:type="dxa"/>
            <w:tcBorders>
              <w:bottom w:val="nil"/>
            </w:tcBorders>
          </w:tcPr>
          <w:p w14:paraId="6B6641AA">
            <w:pPr>
              <w:jc w:val="distribute"/>
              <w:rPr>
                <w:rFonts w:hint="eastAsia" w:ascii="宋体" w:hAnsi="宋体" w:eastAsia="宋体" w:cs="宋体"/>
                <w:spacing w:val="30"/>
                <w:kern w:val="10"/>
                <w:sz w:val="30"/>
              </w:rPr>
            </w:pPr>
            <w:r>
              <w:rPr>
                <w:rFonts w:hint="eastAsia" w:ascii="宋体" w:hAnsi="宋体" w:eastAsia="宋体" w:cs="宋体"/>
                <w:spacing w:val="30"/>
                <w:kern w:val="10"/>
                <w:sz w:val="30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0"/>
                <w:kern w:val="10"/>
                <w:sz w:val="30"/>
              </w:rPr>
              <w:t>姓名</w:t>
            </w:r>
          </w:p>
        </w:tc>
        <w:tc>
          <w:tcPr>
            <w:tcW w:w="461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F21683">
            <w:pPr>
              <w:jc w:val="center"/>
              <w:rPr>
                <w:rFonts w:hint="eastAsia" w:ascii="宋体" w:hAnsi="宋体" w:eastAsia="宋体" w:cs="宋体"/>
                <w:spacing w:val="30"/>
                <w:kern w:val="10"/>
                <w:sz w:val="30"/>
              </w:rPr>
            </w:pPr>
            <w:r>
              <w:rPr>
                <w:rFonts w:hint="eastAsia" w:ascii="宋体" w:hAnsi="宋体" w:eastAsia="宋体" w:cs="宋体"/>
                <w:spacing w:val="30"/>
                <w:kern w:val="10"/>
                <w:sz w:val="30"/>
              </w:rPr>
              <w:t>杨宇彬</w:t>
            </w:r>
          </w:p>
        </w:tc>
      </w:tr>
    </w:tbl>
    <w:p w14:paraId="54C2968C">
      <w:pPr>
        <w:rPr>
          <w:rFonts w:hint="eastAsia" w:ascii="宋体" w:hAnsi="宋体" w:eastAsia="宋体" w:cs="宋体"/>
          <w:b/>
          <w:bCs/>
          <w:spacing w:val="22"/>
          <w:kern w:val="10"/>
          <w:sz w:val="28"/>
        </w:rPr>
      </w:pPr>
    </w:p>
    <w:p w14:paraId="48166714">
      <w:pPr>
        <w:jc w:val="center"/>
        <w:rPr>
          <w:rFonts w:hint="eastAsia" w:ascii="宋体" w:hAnsi="宋体" w:eastAsia="宋体" w:cs="宋体"/>
          <w:spacing w:val="22"/>
          <w:kern w:val="10"/>
          <w:sz w:val="30"/>
        </w:rPr>
      </w:pPr>
      <w:r>
        <w:rPr>
          <w:rFonts w:hint="eastAsia" w:ascii="宋体" w:hAnsi="宋体" w:eastAsia="宋体" w:cs="宋体"/>
          <w:spacing w:val="22"/>
          <w:kern w:val="10"/>
          <w:sz w:val="30"/>
        </w:rPr>
        <w:t>2025</w:t>
      </w:r>
      <w:r>
        <w:rPr>
          <w:rFonts w:hint="eastAsia" w:ascii="宋体" w:hAnsi="宋体" w:eastAsia="宋体" w:cs="宋体"/>
          <w:spacing w:val="22"/>
          <w:kern w:val="10"/>
          <w:sz w:val="30"/>
        </w:rPr>
        <w:t>年</w:t>
      </w:r>
      <w:r>
        <w:rPr>
          <w:rFonts w:hint="eastAsia" w:ascii="宋体" w:hAnsi="宋体" w:eastAsia="宋体" w:cs="宋体"/>
          <w:spacing w:val="22"/>
          <w:kern w:val="10"/>
          <w:sz w:val="30"/>
          <w:lang w:val="en-US" w:eastAsia="zh-CN"/>
        </w:rPr>
        <w:t>4</w:t>
      </w:r>
      <w:r>
        <w:rPr>
          <w:rFonts w:hint="eastAsia" w:ascii="宋体" w:hAnsi="宋体" w:eastAsia="宋体" w:cs="宋体"/>
          <w:spacing w:val="22"/>
          <w:kern w:val="10"/>
          <w:sz w:val="30"/>
        </w:rPr>
        <w:t>月</w:t>
      </w:r>
      <w:r>
        <w:rPr>
          <w:rFonts w:hint="eastAsia" w:ascii="宋体" w:hAnsi="宋体" w:eastAsia="宋体" w:cs="宋体"/>
          <w:spacing w:val="22"/>
          <w:kern w:val="10"/>
          <w:sz w:val="30"/>
          <w:lang w:val="en-US" w:eastAsia="zh-CN"/>
        </w:rPr>
        <w:t>15</w:t>
      </w:r>
      <w:r>
        <w:rPr>
          <w:rFonts w:hint="eastAsia" w:ascii="宋体" w:hAnsi="宋体" w:eastAsia="宋体" w:cs="宋体"/>
          <w:spacing w:val="22"/>
          <w:kern w:val="10"/>
          <w:sz w:val="30"/>
        </w:rPr>
        <w:t>日</w:t>
      </w:r>
    </w:p>
    <w:p w14:paraId="48A60D92">
      <w:pPr>
        <w:jc w:val="center"/>
        <w:rPr>
          <w:rFonts w:hint="eastAsia" w:ascii="宋体" w:hAnsi="宋体" w:eastAsia="宋体" w:cs="宋体"/>
          <w:b/>
          <w:color w:val="17365D"/>
          <w:sz w:val="40"/>
        </w:rPr>
        <w:sectPr>
          <w:footerReference r:id="rId5" w:type="default"/>
          <w:pgSz w:w="12240" w:h="15840"/>
          <w:pgMar w:top="1247" w:right="1247" w:bottom="1134" w:left="1361" w:header="720" w:footer="720" w:gutter="0"/>
          <w:cols w:space="720" w:num="1"/>
          <w:docGrid w:linePitch="360" w:charSpace="0"/>
        </w:sect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005"/>
        <w:gridCol w:w="1417"/>
        <w:gridCol w:w="2835"/>
      </w:tblGrid>
      <w:tr w14:paraId="57666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D6E7B3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课程名称</w:t>
            </w:r>
          </w:p>
        </w:tc>
        <w:tc>
          <w:tcPr>
            <w:tcW w:w="3005" w:type="dxa"/>
            <w:vAlign w:val="center"/>
          </w:tcPr>
          <w:p w14:paraId="42523FB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目标检测</w:t>
            </w:r>
          </w:p>
        </w:tc>
        <w:tc>
          <w:tcPr>
            <w:tcW w:w="1417" w:type="dxa"/>
            <w:vAlign w:val="center"/>
          </w:tcPr>
          <w:p w14:paraId="7E26149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实验类型</w:t>
            </w:r>
          </w:p>
        </w:tc>
        <w:tc>
          <w:tcPr>
            <w:tcW w:w="2835" w:type="dxa"/>
            <w:vAlign w:val="center"/>
          </w:tcPr>
          <w:p w14:paraId="623AF90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课程实验</w:t>
            </w:r>
          </w:p>
        </w:tc>
      </w:tr>
      <w:tr w14:paraId="2A13E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F9E9AA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实验平台</w:t>
            </w:r>
          </w:p>
        </w:tc>
        <w:tc>
          <w:tcPr>
            <w:tcW w:w="3005" w:type="dxa"/>
            <w:vAlign w:val="center"/>
          </w:tcPr>
          <w:p w14:paraId="2F0FC85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Windows + Anaconda + Jupyter Notebook</w:t>
            </w:r>
          </w:p>
        </w:tc>
        <w:tc>
          <w:tcPr>
            <w:tcW w:w="1417" w:type="dxa"/>
            <w:vAlign w:val="center"/>
          </w:tcPr>
          <w:p w14:paraId="2144B27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实验依据</w:t>
            </w:r>
          </w:p>
        </w:tc>
        <w:tc>
          <w:tcPr>
            <w:tcW w:w="2835" w:type="dxa"/>
            <w:vAlign w:val="center"/>
          </w:tcPr>
          <w:p w14:paraId="046E9AD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课程 PDF 与配套 ipynb 代码</w:t>
            </w:r>
          </w:p>
        </w:tc>
      </w:tr>
    </w:tbl>
    <w:p w14:paraId="7D92994E">
      <w:pPr>
        <w:rPr>
          <w:rFonts w:hint="eastAsia" w:ascii="宋体" w:hAnsi="宋体" w:eastAsia="宋体" w:cs="宋体"/>
        </w:rPr>
      </w:pPr>
    </w:p>
    <w:p w14:paraId="1D9C53FB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本报告依据课程讲义《Tensorflow目标检测API调用实验》及配套图像、视频目标检测 Notebook 整理完成，重点梳理实验环境构建、TensorFlow Object Detection API 的推理流程、图像与视频检测代码逻辑、实验结果记录框架以及常见问题分析。</w:t>
      </w:r>
    </w:p>
    <w:p w14:paraId="41289FF5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需要说明的是，课程 PDF 以实验流程演示为主，并未系统给出完整数学推导公式。因此，实验原理部分主要依据讲义中的框架说明与配套代码中的推理流程，对目标检测系统的输入、模型调用、输出解析和结果可视化过程进行归纳。</w:t>
      </w:r>
    </w:p>
    <w:p w14:paraId="4BB2A56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一、实验目的</w:t>
      </w:r>
    </w:p>
    <w:p w14:paraId="5349B39B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掌握 TensorFlow Object Detection API 的基本用途与应用场景，理解其可直接调用预训练模型完成图像与视频目标识别的实验范式。</w:t>
      </w:r>
    </w:p>
    <w:p w14:paraId="2F990008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掌握实验运行环境的构建方法，包括 Anaconda 虚拟环境创建、Python 3.9 安装、Jupyter Notebook 配置、Git 获取源码以及 Protobuf 编译流程。</w:t>
      </w:r>
    </w:p>
    <w:p w14:paraId="347A9C7F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理解目标检测推理的基本数据流：图像读入、张量构造、模型前向推理、检测结果解析、类别映射以及边界框可视化。</w:t>
      </w:r>
    </w:p>
    <w:p w14:paraId="1B2A0681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能够基于配套 Notebook 完成静态图像检测任务，并进一步将单帧检测思路迁移到视频连续帧处理任务中。</w:t>
      </w:r>
    </w:p>
    <w:p w14:paraId="6F8D47B5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具备对不同目标检测模型、不同天气/光照场景进行实验对比和结果分析的能力，为后续课程作业与扩展实验奠定基础。</w:t>
      </w:r>
    </w:p>
    <w:p w14:paraId="1AD3F70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二、实验原理</w:t>
      </w:r>
    </w:p>
    <w:p w14:paraId="712269C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TensorFlow Object Detection API 的实验定位</w:t>
      </w:r>
    </w:p>
    <w:p w14:paraId="6A5D41F5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课程讲义指出，TensorFlow Object Detection API 是 Google 开源的目标检测框架，基于 TensorFlow 构建，支持 SSD、Faster R-CNN、R-FCN 等多种检测架构，并提供在 COCO 等数据集上训练好的预训练模型，可直接用于推理或迁移学习。就本实验而言，其核心不是重新训练模型，而是完成“环境配置 - 预训练模型调用 - 检测结果输出”的标准推理流程。</w:t>
      </w:r>
    </w:p>
    <w:p w14:paraId="5DF5315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目标检测推理流程</w:t>
      </w:r>
    </w:p>
    <w:p w14:paraId="515FDD68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从配套代码可以看出，整个推理流程可以概括为：输入图像/视频帧预处理 → 转换为 TensorFlow 张量 → 调用 SavedModel 的 serving_default 签名执行前向推理 → 提取检测框、类别、置信度与目标数量 → 按类别标签映射为语义名称 → 将检测框和标签绘制到原图上并输出结果。</w:t>
      </w:r>
    </w:p>
    <w:p w14:paraId="71BB8BF5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若记输入图像为 I∈R^(H×W×3)，则代码首先将其转换为数组 image=np.asarray(I)，再通过 tf.convert_to_tensor(image) 转为张量，并使用 input_tensor[tf.newaxis,...] 增加批维，得到模型可接受的输入 X∈R^(1×H×W×3)。虽然讲义未展开模型内部特征提取与候选框生成的数学推导，但从实验调用层面，模型输出可视为 O=fθ(X)，其中 θ 表示预训练模型参数。</w:t>
      </w:r>
    </w:p>
    <w:p w14:paraId="59E7AAFF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代码进一步从输出字典中读取 num_detections，并对各输出张量取第 1 个 batch、截取前 num_detections 个有效检测目标：output_dict = {key: value[0, :num_detections].numpy() for key, value in output_dict.items()}。这一步体现了目标检测结果的后处理思想，即只保留有效检测实例，避免直接使用固定长度输出向量。</w:t>
      </w:r>
    </w:p>
    <w:p w14:paraId="4C399585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对于 detection_classes，代码显式执行 astype(np.int64)，将类别索引转换为整型，以便后续通过 mscoco_label_map.pbtxt 将类别编号映射为 COCO 数据集中的目标名称。对于包含实例分割掩膜的模型，代码还调用 reframe_box_masks_to_image_masks 将检测框内部掩膜还原到原图尺寸，并以阈值 0.5 进行二值化处理。</w:t>
      </w:r>
    </w:p>
    <w:p w14:paraId="01F6EDBE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在可视化阶段，vis_util.visualize_boxes_and_labels_on_image_array 会根据 detection_boxes、detection_classes、detection_scores 以及 category_index 在原图上绘制目标框、类别名与置信度，从而形成最终结果图。对于视频检测，实验代码将同样的单帧推理逻辑嵌入循环中，对每一帧重复执行检测，再写入视频输出流。</w:t>
      </w:r>
    </w:p>
    <w:p w14:paraId="3EDD9A0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 配套代码核心逻辑说明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6"/>
        <w:gridCol w:w="4132"/>
      </w:tblGrid>
      <w:tr w14:paraId="60EDE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3C952A5">
            <w:pPr>
              <w:spacing w:after="6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函数/模块</w:t>
            </w:r>
          </w:p>
        </w:tc>
        <w:tc>
          <w:tcPr>
            <w:tcW w:w="4816" w:type="dxa"/>
            <w:vAlign w:val="center"/>
          </w:tcPr>
          <w:p w14:paraId="166180BA">
            <w:pPr>
              <w:spacing w:after="60" w:line="288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核心作用</w:t>
            </w:r>
          </w:p>
        </w:tc>
      </w:tr>
      <w:tr w14:paraId="68DC9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6D534EBB">
            <w:pPr>
              <w:spacing w:after="6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load_model(model_name)</w:t>
            </w:r>
          </w:p>
        </w:tc>
        <w:tc>
          <w:tcPr>
            <w:tcW w:w="4816" w:type="dxa"/>
            <w:vAlign w:val="center"/>
          </w:tcPr>
          <w:p w14:paraId="4CDCC250">
            <w:pPr>
              <w:spacing w:after="6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 tf.keras.utils.get_file 下载指定模型压缩包，解压后定位至 saved_model 目录，并用 tf.saved_model.load 加载预训练模型。</w:t>
            </w:r>
          </w:p>
        </w:tc>
      </w:tr>
      <w:tr w14:paraId="5F51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4B746F25">
            <w:pPr>
              <w:spacing w:after="6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run_inference_for_single_image(model, image)</w:t>
            </w:r>
          </w:p>
        </w:tc>
        <w:tc>
          <w:tcPr>
            <w:tcW w:w="4816" w:type="dxa"/>
            <w:vAlign w:val="center"/>
          </w:tcPr>
          <w:p w14:paraId="37A68DA4">
            <w:pPr>
              <w:spacing w:after="6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将单张图像转换为张量并补充 batch 维，调用 serving_default 执行推理；随后读取有效检测数量，整理检测框、类别、置信度等输出。</w:t>
            </w:r>
          </w:p>
        </w:tc>
      </w:tr>
      <w:tr w14:paraId="1BF9C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58CAE0A2">
            <w:pPr>
              <w:spacing w:after="6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show_inference(model, image_path, save_dir)</w:t>
            </w:r>
          </w:p>
        </w:tc>
        <w:tc>
          <w:tcPr>
            <w:tcW w:w="4816" w:type="dxa"/>
            <w:vAlign w:val="center"/>
          </w:tcPr>
          <w:p w14:paraId="6E05A4BE">
            <w:pPr>
              <w:spacing w:after="6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读取图像，调用单图推理函数，使用 visualization_utils 在图像上绘制检测框并保存到指定目录。</w:t>
            </w:r>
          </w:p>
        </w:tc>
      </w:tr>
      <w:tr w14:paraId="218D0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EBA3A53">
            <w:pPr>
              <w:spacing w:after="6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process_video(model, input_video_path, output_video_path, score_thresh)</w:t>
            </w:r>
          </w:p>
        </w:tc>
        <w:tc>
          <w:tcPr>
            <w:tcW w:w="4816" w:type="dxa"/>
            <w:vAlign w:val="center"/>
          </w:tcPr>
          <w:p w14:paraId="7812F2BD">
            <w:pPr>
              <w:spacing w:after="6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借助 OpenCV 逐帧读取视频，将 BGR 帧转为 RGB 后进行推理，再把绘制结果写回输出视频，实现视频目标检测。</w:t>
            </w:r>
          </w:p>
        </w:tc>
      </w:tr>
      <w:tr w14:paraId="344F6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5E271D3">
            <w:pPr>
              <w:spacing w:after="6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label_map_util.create_category_index_from_labelmap</w:t>
            </w:r>
          </w:p>
        </w:tc>
        <w:tc>
          <w:tcPr>
            <w:tcW w:w="4816" w:type="dxa"/>
            <w:vAlign w:val="center"/>
          </w:tcPr>
          <w:p w14:paraId="703481F5">
            <w:pPr>
              <w:spacing w:after="6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读取 COCO 标签映射文件，将类别 ID 转为人类可读的类别名称。</w:t>
            </w:r>
          </w:p>
        </w:tc>
      </w:tr>
    </w:tbl>
    <w:p w14:paraId="2E010110">
      <w:pPr>
        <w:rPr>
          <w:rFonts w:hint="eastAsia" w:ascii="宋体" w:hAnsi="宋体" w:eastAsia="宋体" w:cs="宋体"/>
        </w:rPr>
      </w:pPr>
    </w:p>
    <w:p w14:paraId="5DA915D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2.4 课程讲义中的流程结构</w:t>
      </w:r>
    </w:p>
    <w:p w14:paraId="6C5E9C94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根据课程 PDF，实验整体分为四个阶段：Part I 为 Anaconda、Python 与 Jupyter Notebook 环境搭建；Part II 为 Git 安装与 tensorflow/models 源码下载；Part III 为 Protobuf 编译及 TensorFlow Object Detection API 安装；Part IV 为正式实验，即在 Jupyter Notebook 中运行 object_detection_tutorial.ipynb 完成图像检测，并在此基础上扩展到视频检测。该结构体现出本实验属于典型的“工程部署型”实验：先完成依赖配置，再执行预训练模型推理。</w:t>
      </w:r>
    </w:p>
    <w:p w14:paraId="00AC021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三、实验工具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3D97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555DC09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工具/软件</w:t>
            </w:r>
          </w:p>
        </w:tc>
        <w:tc>
          <w:tcPr>
            <w:tcW w:w="3211" w:type="dxa"/>
          </w:tcPr>
          <w:p w14:paraId="41A7D0A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用途</w:t>
            </w:r>
          </w:p>
        </w:tc>
        <w:tc>
          <w:tcPr>
            <w:tcW w:w="3211" w:type="dxa"/>
          </w:tcPr>
          <w:p w14:paraId="61D0A28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备注</w:t>
            </w:r>
          </w:p>
        </w:tc>
      </w:tr>
      <w:tr w14:paraId="174A9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8666688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Anaconda</w:t>
            </w:r>
          </w:p>
        </w:tc>
        <w:tc>
          <w:tcPr>
            <w:tcW w:w="3211" w:type="dxa"/>
            <w:vAlign w:val="center"/>
          </w:tcPr>
          <w:p w14:paraId="11FA0174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创建独立 Python 虚拟环境并管理依赖包</w:t>
            </w:r>
          </w:p>
        </w:tc>
        <w:tc>
          <w:tcPr>
            <w:tcW w:w="3211" w:type="dxa"/>
            <w:vAlign w:val="center"/>
          </w:tcPr>
          <w:p w14:paraId="6293D9CC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课程 PDF 明确要求使用</w:t>
            </w:r>
          </w:p>
        </w:tc>
      </w:tr>
      <w:tr w14:paraId="59BA8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91763D1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Python 3.9</w:t>
            </w:r>
          </w:p>
        </w:tc>
        <w:tc>
          <w:tcPr>
            <w:tcW w:w="3211" w:type="dxa"/>
            <w:vAlign w:val="center"/>
          </w:tcPr>
          <w:p w14:paraId="29F6D946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实验代码运行环境</w:t>
            </w:r>
          </w:p>
        </w:tc>
        <w:tc>
          <w:tcPr>
            <w:tcW w:w="3211" w:type="dxa"/>
            <w:vAlign w:val="center"/>
          </w:tcPr>
          <w:p w14:paraId="572AF76D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 conda install python=3.9 安装</w:t>
            </w:r>
          </w:p>
        </w:tc>
      </w:tr>
      <w:tr w14:paraId="41F3B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0EC55F5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Jupyter Notebook</w:t>
            </w:r>
          </w:p>
        </w:tc>
        <w:tc>
          <w:tcPr>
            <w:tcW w:w="3211" w:type="dxa"/>
            <w:vAlign w:val="center"/>
          </w:tcPr>
          <w:p w14:paraId="540B35DC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运行 .ipynb 实验脚本并交互式查看输出</w:t>
            </w:r>
          </w:p>
        </w:tc>
        <w:tc>
          <w:tcPr>
            <w:tcW w:w="3211" w:type="dxa"/>
            <w:vAlign w:val="center"/>
          </w:tcPr>
          <w:p w14:paraId="2CACCE80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适合逐单元调试</w:t>
            </w:r>
          </w:p>
        </w:tc>
      </w:tr>
      <w:tr w14:paraId="64188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6A7F6F6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Git / Git Bash</w:t>
            </w:r>
          </w:p>
        </w:tc>
        <w:tc>
          <w:tcPr>
            <w:tcW w:w="3211" w:type="dxa"/>
            <w:vAlign w:val="center"/>
          </w:tcPr>
          <w:p w14:paraId="174266DE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下载 tensorflow/models 仓库</w:t>
            </w:r>
          </w:p>
        </w:tc>
        <w:tc>
          <w:tcPr>
            <w:tcW w:w="3211" w:type="dxa"/>
            <w:vAlign w:val="center"/>
          </w:tcPr>
          <w:p w14:paraId="0BA637BA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用于获取 research/object_detection 代码</w:t>
            </w:r>
          </w:p>
        </w:tc>
      </w:tr>
      <w:tr w14:paraId="325C5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3ED8AC4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Protoc 编译器</w:t>
            </w:r>
          </w:p>
        </w:tc>
        <w:tc>
          <w:tcPr>
            <w:tcW w:w="3211" w:type="dxa"/>
            <w:vAlign w:val="center"/>
          </w:tcPr>
          <w:p w14:paraId="0A667BBF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将 .proto 文件编译为 Python 可调用文件</w:t>
            </w:r>
          </w:p>
        </w:tc>
        <w:tc>
          <w:tcPr>
            <w:tcW w:w="3211" w:type="dxa"/>
            <w:vAlign w:val="center"/>
          </w:tcPr>
          <w:p w14:paraId="1347B14D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 API 安装的关键前置条件</w:t>
            </w:r>
          </w:p>
        </w:tc>
      </w:tr>
      <w:tr w14:paraId="369DE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133E586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TensorFlow Object Detection API</w:t>
            </w:r>
          </w:p>
        </w:tc>
        <w:tc>
          <w:tcPr>
            <w:tcW w:w="3211" w:type="dxa"/>
            <w:vAlign w:val="center"/>
          </w:tcPr>
          <w:p w14:paraId="5D4805F7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完成预训练模型调用与目标检测推理</w:t>
            </w:r>
          </w:p>
        </w:tc>
        <w:tc>
          <w:tcPr>
            <w:tcW w:w="3211" w:type="dxa"/>
            <w:vAlign w:val="center"/>
          </w:tcPr>
          <w:p w14:paraId="0A1F31E2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实验核心框架</w:t>
            </w:r>
          </w:p>
        </w:tc>
      </w:tr>
      <w:tr w14:paraId="5C343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A5180CF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OpenCV (cv2)</w:t>
            </w:r>
          </w:p>
        </w:tc>
        <w:tc>
          <w:tcPr>
            <w:tcW w:w="3211" w:type="dxa"/>
            <w:vAlign w:val="center"/>
          </w:tcPr>
          <w:p w14:paraId="3783FEC6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完成视频读取、逐帧处理与结果视频写出</w:t>
            </w:r>
          </w:p>
        </w:tc>
        <w:tc>
          <w:tcPr>
            <w:tcW w:w="3211" w:type="dxa"/>
            <w:vAlign w:val="center"/>
          </w:tcPr>
          <w:p w14:paraId="263BB120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主要用于加分项视频检测</w:t>
            </w:r>
          </w:p>
        </w:tc>
      </w:tr>
      <w:tr w14:paraId="791D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35A3DFA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PIL / NumPy / Matplotlib</w:t>
            </w:r>
          </w:p>
        </w:tc>
        <w:tc>
          <w:tcPr>
            <w:tcW w:w="3211" w:type="dxa"/>
            <w:vAlign w:val="center"/>
          </w:tcPr>
          <w:p w14:paraId="69F94CEF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图像读写、数组处理与结果展示</w:t>
            </w:r>
          </w:p>
        </w:tc>
        <w:tc>
          <w:tcPr>
            <w:tcW w:w="3211" w:type="dxa"/>
            <w:vAlign w:val="center"/>
          </w:tcPr>
          <w:p w14:paraId="5F3E7FC6">
            <w:pPr>
              <w:spacing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配套 Notebook 中实际调用</w:t>
            </w:r>
          </w:p>
        </w:tc>
      </w:tr>
    </w:tbl>
    <w:p w14:paraId="55D7D7E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四、实验步骤</w:t>
      </w:r>
    </w:p>
    <w:p w14:paraId="28D28DE2">
      <w:pPr>
        <w:pStyle w:val="164"/>
        <w:ind w:left="340" w:hanging="340"/>
        <w:rPr>
          <w:rFonts w:hint="eastAsia" w:ascii="宋体" w:hAnsi="宋体" w:eastAsia="宋体" w:cs="宋体"/>
        </w:rPr>
      </w:pPr>
    </w:p>
    <w:p w14:paraId="4D4EE0E7">
      <w:pPr>
        <w:pStyle w:val="164"/>
        <w:ind w:left="340" w:hanging="340"/>
        <w:rPr>
          <w:rFonts w:hint="eastAsia" w:ascii="宋体" w:hAnsi="宋体" w:eastAsia="宋体" w:cs="宋体"/>
        </w:rPr>
      </w:pPr>
    </w:p>
    <w:p w14:paraId="3BA66573">
      <w:pPr>
        <w:pStyle w:val="164"/>
        <w:ind w:left="340" w:hanging="340"/>
        <w:rPr>
          <w:rFonts w:hint="eastAsia" w:ascii="宋体" w:hAnsi="宋体" w:eastAsia="宋体" w:cs="宋体"/>
        </w:rPr>
      </w:pPr>
    </w:p>
    <w:p w14:paraId="58A30183">
      <w:pPr>
        <w:pStyle w:val="164"/>
        <w:ind w:left="340" w:hanging="340"/>
        <w:rPr>
          <w:rFonts w:hint="eastAsia" w:ascii="宋体" w:hAnsi="宋体" w:eastAsia="宋体" w:cs="宋体"/>
        </w:rPr>
      </w:pPr>
    </w:p>
    <w:p w14:paraId="6A2FE2C2">
      <w:pPr>
        <w:pStyle w:val="164"/>
        <w:ind w:left="340" w:hanging="340"/>
        <w:rPr>
          <w:rFonts w:hint="eastAsia" w:ascii="宋体" w:hAnsi="宋体" w:eastAsia="宋体" w:cs="宋体"/>
        </w:rPr>
      </w:pPr>
    </w:p>
    <w:p w14:paraId="609C925E">
      <w:pPr>
        <w:pStyle w:val="164"/>
        <w:ind w:left="340" w:hanging="340"/>
        <w:rPr>
          <w:rFonts w:hint="eastAsia" w:ascii="宋体" w:hAnsi="宋体" w:eastAsia="宋体" w:cs="宋体"/>
        </w:rPr>
      </w:pPr>
    </w:p>
    <w:p w14:paraId="18D7E6AF">
      <w:pPr>
        <w:pStyle w:val="164"/>
        <w:ind w:left="340" w:hanging="340"/>
        <w:rPr>
          <w:rFonts w:hint="eastAsia" w:ascii="宋体" w:hAnsi="宋体" w:eastAsia="宋体" w:cs="宋体"/>
        </w:rPr>
      </w:pPr>
    </w:p>
    <w:p w14:paraId="31CAB0C2">
      <w:pPr>
        <w:pStyle w:val="164"/>
        <w:ind w:left="340" w:hanging="340"/>
        <w:rPr>
          <w:rFonts w:hint="eastAsia" w:ascii="宋体" w:hAnsi="宋体" w:eastAsia="宋体" w:cs="宋体"/>
        </w:rPr>
      </w:pPr>
    </w:p>
    <w:p w14:paraId="40AEAD45">
      <w:pPr>
        <w:pStyle w:val="164"/>
        <w:ind w:left="340" w:hanging="340"/>
        <w:rPr>
          <w:rFonts w:hint="eastAsia" w:ascii="宋体" w:hAnsi="宋体" w:eastAsia="宋体" w:cs="宋体"/>
        </w:rPr>
      </w:pPr>
    </w:p>
    <w:p w14:paraId="4B38DCA0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1. </w:t>
      </w:r>
      <w:r>
        <w:rPr>
          <w:rFonts w:hint="eastAsia" w:ascii="宋体" w:hAnsi="宋体" w:eastAsia="宋体" w:cs="宋体"/>
        </w:rPr>
        <w:t>步骤1：配置基础开发环境。安装 Anaconda 后，在 Anaconda Prompt 中创建并激活独立虚拟环境；随后安装 Python 3.9，并通过 pip 安装 Jupyter Notebook。该步骤的目的在于建立可复现实验环境，避免系统级依赖冲突。</w:t>
      </w:r>
    </w:p>
    <w:p w14:paraId="654D7025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2. </w:t>
      </w:r>
      <w:r>
        <w:rPr>
          <w:rFonts w:hint="eastAsia" w:ascii="宋体" w:hAnsi="宋体" w:eastAsia="宋体" w:cs="宋体"/>
        </w:rPr>
        <w:t>步骤2：安装 Git 并获取 tensorflow/models 源码。使用 Git Bash 执行 git clone https://github.com/tensorflow/models.git，将源码仓库下载到本地；同时按照讲义要求，将 setup.py 从 object_detection/packages/tf2 目录移动到 research 目录，以便后续通过 pip install . 完成 API 安装。</w:t>
      </w:r>
    </w:p>
    <w:p w14:paraId="64404A6D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3. </w:t>
      </w:r>
      <w:r>
        <w:rPr>
          <w:rFonts w:hint="eastAsia" w:ascii="宋体" w:hAnsi="宋体" w:eastAsia="宋体" w:cs="宋体"/>
        </w:rPr>
        <w:t>步骤3：配置 Protoc 编译器与环境变量。下载并解压 protoc-3.0.2-win32，将 protoc 可执行目录加入系统 PATH；在虚拟环境下执行 protoc 命令验证是否可用。此步骤是为了将 object_detection/protos 下的 .proto 文件编译为 *_pb2.py，否则 API 无法正常导入。</w:t>
      </w:r>
    </w:p>
    <w:p w14:paraId="28F91113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4. </w:t>
      </w:r>
      <w:r>
        <w:rPr>
          <w:rFonts w:hint="eastAsia" w:ascii="宋体" w:hAnsi="宋体" w:eastAsia="宋体" w:cs="宋体"/>
        </w:rPr>
        <w:t>步骤4：编译并安装 TensorFlow Object Detection API。在 models/research 目录下执行 protoc object_detection/protos/*.proto --python_out=.，生成对应 Python 协议文件；随后执行 pip install . 安装 API 及其依赖库（含 TensorFlow 等）。</w:t>
      </w:r>
    </w:p>
    <w:p w14:paraId="5F1DAC5D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5. </w:t>
      </w:r>
      <w:r>
        <w:rPr>
          <w:rFonts w:hint="eastAsia" w:ascii="宋体" w:hAnsi="宋体" w:eastAsia="宋体" w:cs="宋体"/>
        </w:rPr>
        <w:t>步骤5：启动 Jupyter Notebook 并打开 object_detection_tutorial.ipynb。进入 object_detection 所在目录，运行 jupyter notebook，在浏览器中打开实验脚本。必要时重启 kernel，使新安装的库被解释器识别。</w:t>
      </w:r>
    </w:p>
    <w:p w14:paraId="4A52CDD8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6. </w:t>
      </w:r>
      <w:r>
        <w:rPr>
          <w:rFonts w:hint="eastAsia" w:ascii="宋体" w:hAnsi="宋体" w:eastAsia="宋体" w:cs="宋体"/>
        </w:rPr>
        <w:t>步骤6：配置类别标签和测试数据路径。按照 Notebook 中的代码设置 PATH_TO_LABELS 与 PATH_TO_TEST_IMAGES_DIR，读取 mscoco_label_map.pbtxt 和待检测图像目录；将测试图像统一放入指定文件夹，便于批量推理。</w:t>
      </w:r>
    </w:p>
    <w:p w14:paraId="309851F6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7. </w:t>
      </w:r>
      <w:r>
        <w:rPr>
          <w:rFonts w:hint="eastAsia" w:ascii="宋体" w:hAnsi="宋体" w:eastAsia="宋体" w:cs="宋体"/>
        </w:rPr>
        <w:t>步骤7：选择预训练模型并完成图像检测。调用 load_model(model_name) 加载指定模型，例如 ssd_mobilenet_v1_ppn_shared_box_predictor_300x300_coco14_sync_2018_07_03 或 ssd_mobilenet_v1_coco_2017_11_17；随后对测试图像逐张执行 show_inference，在原图上叠加检测框、类别名与置信度，并保存至输出目录。</w:t>
      </w:r>
    </w:p>
    <w:p w14:paraId="76C7B6AE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8. </w:t>
      </w:r>
      <w:r>
        <w:rPr>
          <w:rFonts w:hint="eastAsia" w:ascii="宋体" w:hAnsi="宋体" w:eastAsia="宋体" w:cs="宋体"/>
        </w:rPr>
        <w:t>步骤8：扩展到视频目标检测。安装 imageio 与 opencv-python 等视频处理依赖，读取输入视频路径；在 process_video 函数中通过 OpenCV 按帧读取视频，将每帧转换为 RGB 后调用单图推理函数，再将结果写入新视频文件，实现连续视频检测。</w:t>
      </w:r>
    </w:p>
    <w:p w14:paraId="76E5CD79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9. </w:t>
      </w:r>
      <w:r>
        <w:rPr>
          <w:rFonts w:hint="eastAsia" w:ascii="宋体" w:hAnsi="宋体" w:eastAsia="宋体" w:cs="宋体"/>
        </w:rPr>
        <w:t>步骤9：记录实验现象并完成结果整理。按照课程要求，至少测试 3 种目标检测模型，并在白天、强光、夜晚、晴天、雨、雪、雾等不少于 10 类场景下比较检测表现；最终整理典型检测截图、结果表格和分析文字，形成课程实验报告。</w:t>
      </w:r>
    </w:p>
    <w:p w14:paraId="2D48671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五、实验结果与分析</w:t>
      </w:r>
    </w:p>
    <w:p w14:paraId="4DF7586D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依据课程要求，实验结果部分应兼顾“图像检测结果”和“视频检测结果（加分项）”两类内容，同时重点比较不同模型、不同场景下的检测效果差异。以下给出可直接填写的数据记录框架。</w:t>
      </w:r>
    </w:p>
    <w:p w14:paraId="513E353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 图像检测结果记录表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605"/>
        <w:gridCol w:w="1605"/>
        <w:gridCol w:w="1605"/>
        <w:gridCol w:w="1605"/>
        <w:gridCol w:w="1605"/>
      </w:tblGrid>
      <w:tr w14:paraId="2E07B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05" w:type="dxa"/>
          </w:tcPr>
          <w:p w14:paraId="688CD7B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序号</w:t>
            </w:r>
          </w:p>
        </w:tc>
        <w:tc>
          <w:tcPr>
            <w:tcW w:w="1605" w:type="dxa"/>
          </w:tcPr>
          <w:p w14:paraId="30B79B8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测试场景</w:t>
            </w:r>
          </w:p>
        </w:tc>
        <w:tc>
          <w:tcPr>
            <w:tcW w:w="1605" w:type="dxa"/>
          </w:tcPr>
          <w:p w14:paraId="14D4B05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模型名称</w:t>
            </w:r>
          </w:p>
        </w:tc>
        <w:tc>
          <w:tcPr>
            <w:tcW w:w="1605" w:type="dxa"/>
          </w:tcPr>
          <w:p w14:paraId="091E69D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主要检测目标</w:t>
            </w:r>
          </w:p>
        </w:tc>
        <w:tc>
          <w:tcPr>
            <w:tcW w:w="1605" w:type="dxa"/>
          </w:tcPr>
          <w:p w14:paraId="7820880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典型现象/问题</w:t>
            </w:r>
          </w:p>
        </w:tc>
        <w:tc>
          <w:tcPr>
            <w:tcW w:w="1605" w:type="dxa"/>
          </w:tcPr>
          <w:p w14:paraId="2431FEC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备注</w:t>
            </w:r>
          </w:p>
        </w:tc>
      </w:tr>
      <w:tr w14:paraId="11B50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 w14:paraId="0876C23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1605" w:type="dxa"/>
          </w:tcPr>
          <w:p w14:paraId="7E116C6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示例：白天/夜晚/雨天/雾天/逆光等</w:t>
            </w:r>
          </w:p>
        </w:tc>
        <w:tc>
          <w:tcPr>
            <w:tcW w:w="1605" w:type="dxa"/>
          </w:tcPr>
          <w:p w14:paraId="4FA33EF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257E4F1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3AA0E3B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待填写：误检、漏检、框偏移、置信度变化等</w:t>
            </w:r>
          </w:p>
        </w:tc>
        <w:tc>
          <w:tcPr>
            <w:tcW w:w="1605" w:type="dxa"/>
          </w:tcPr>
          <w:p w14:paraId="02B168D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  <w:tr w14:paraId="0BA92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 w14:paraId="346862D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605" w:type="dxa"/>
          </w:tcPr>
          <w:p w14:paraId="699B45D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示例：白天/夜晚/雨天/雾天/逆光等</w:t>
            </w:r>
          </w:p>
        </w:tc>
        <w:tc>
          <w:tcPr>
            <w:tcW w:w="1605" w:type="dxa"/>
          </w:tcPr>
          <w:p w14:paraId="085AF67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7CD6268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55C7402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待填写：误检、漏检、框偏移、置信度变化等</w:t>
            </w:r>
          </w:p>
        </w:tc>
        <w:tc>
          <w:tcPr>
            <w:tcW w:w="1605" w:type="dxa"/>
          </w:tcPr>
          <w:p w14:paraId="24CBEA0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  <w:tr w14:paraId="07AE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 w14:paraId="6B88B63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1605" w:type="dxa"/>
          </w:tcPr>
          <w:p w14:paraId="5F45998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示例：白天/夜晚/雨天/雾天/逆光等</w:t>
            </w:r>
          </w:p>
        </w:tc>
        <w:tc>
          <w:tcPr>
            <w:tcW w:w="1605" w:type="dxa"/>
          </w:tcPr>
          <w:p w14:paraId="5B67712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558DFBA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06388A1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待填写：误检、漏检、框偏移、置信度变化等</w:t>
            </w:r>
          </w:p>
        </w:tc>
        <w:tc>
          <w:tcPr>
            <w:tcW w:w="1605" w:type="dxa"/>
          </w:tcPr>
          <w:p w14:paraId="31A357E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  <w:tr w14:paraId="1324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 w14:paraId="6761E7F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1605" w:type="dxa"/>
          </w:tcPr>
          <w:p w14:paraId="61FC27A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示例：白天/夜晚/雨天/雾天/逆光等</w:t>
            </w:r>
          </w:p>
        </w:tc>
        <w:tc>
          <w:tcPr>
            <w:tcW w:w="1605" w:type="dxa"/>
          </w:tcPr>
          <w:p w14:paraId="35F8EAD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776CA43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4A8CF98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待填写：误检、漏检、框偏移、置信度变化等</w:t>
            </w:r>
          </w:p>
        </w:tc>
        <w:tc>
          <w:tcPr>
            <w:tcW w:w="1605" w:type="dxa"/>
          </w:tcPr>
          <w:p w14:paraId="115045A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  <w:tr w14:paraId="55675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 w14:paraId="5DBA3F7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tcPr>
            <w:tcW w:w="1605" w:type="dxa"/>
          </w:tcPr>
          <w:p w14:paraId="23EA27E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示例：白天/夜晚/雨天/雾天/逆光等</w:t>
            </w:r>
          </w:p>
        </w:tc>
        <w:tc>
          <w:tcPr>
            <w:tcW w:w="1605" w:type="dxa"/>
          </w:tcPr>
          <w:p w14:paraId="7792DF7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358EC1B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36F37F7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待填写：误检、漏检、框偏移、置信度变化等</w:t>
            </w:r>
          </w:p>
        </w:tc>
        <w:tc>
          <w:tcPr>
            <w:tcW w:w="1605" w:type="dxa"/>
          </w:tcPr>
          <w:p w14:paraId="5EF6285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  <w:tr w14:paraId="65FDC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 w14:paraId="52435EC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tcPr>
            <w:tcW w:w="1605" w:type="dxa"/>
          </w:tcPr>
          <w:p w14:paraId="72084F1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示例：白天/夜晚/雨天/雾天/逆光等</w:t>
            </w:r>
          </w:p>
        </w:tc>
        <w:tc>
          <w:tcPr>
            <w:tcW w:w="1605" w:type="dxa"/>
          </w:tcPr>
          <w:p w14:paraId="2562125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3AD7805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248C3F5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待填写：误检、漏检、框偏移、置信度变化等</w:t>
            </w:r>
          </w:p>
        </w:tc>
        <w:tc>
          <w:tcPr>
            <w:tcW w:w="1605" w:type="dxa"/>
          </w:tcPr>
          <w:p w14:paraId="2D04474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  <w:tr w14:paraId="55025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 w14:paraId="51BDF26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</w:t>
            </w:r>
          </w:p>
        </w:tc>
        <w:tc>
          <w:tcPr>
            <w:tcW w:w="1605" w:type="dxa"/>
          </w:tcPr>
          <w:p w14:paraId="3DCF174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示例：白天/夜晚/雨天/雾天/逆光等</w:t>
            </w:r>
          </w:p>
        </w:tc>
        <w:tc>
          <w:tcPr>
            <w:tcW w:w="1605" w:type="dxa"/>
          </w:tcPr>
          <w:p w14:paraId="1250E83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7F11B30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2855258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待填写：误检、漏检、框偏移、置信度变化等</w:t>
            </w:r>
          </w:p>
        </w:tc>
        <w:tc>
          <w:tcPr>
            <w:tcW w:w="1605" w:type="dxa"/>
          </w:tcPr>
          <w:p w14:paraId="6E25802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  <w:tr w14:paraId="5330F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 w14:paraId="4431213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</w:t>
            </w:r>
          </w:p>
        </w:tc>
        <w:tc>
          <w:tcPr>
            <w:tcW w:w="1605" w:type="dxa"/>
          </w:tcPr>
          <w:p w14:paraId="60DC4A2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示例：白天/夜晚/雨天/雾天/逆光等</w:t>
            </w:r>
          </w:p>
        </w:tc>
        <w:tc>
          <w:tcPr>
            <w:tcW w:w="1605" w:type="dxa"/>
          </w:tcPr>
          <w:p w14:paraId="28D2159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22623FF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1D73012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待填写：误检、漏检、框偏移、置信度变化等</w:t>
            </w:r>
          </w:p>
        </w:tc>
        <w:tc>
          <w:tcPr>
            <w:tcW w:w="1605" w:type="dxa"/>
          </w:tcPr>
          <w:p w14:paraId="20D9C9A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  <w:tr w14:paraId="4C7A9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 w14:paraId="4786378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</w:t>
            </w:r>
          </w:p>
        </w:tc>
        <w:tc>
          <w:tcPr>
            <w:tcW w:w="1605" w:type="dxa"/>
          </w:tcPr>
          <w:p w14:paraId="45D41D8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示例：白天/夜晚/雨天/雾天/逆光等</w:t>
            </w:r>
          </w:p>
        </w:tc>
        <w:tc>
          <w:tcPr>
            <w:tcW w:w="1605" w:type="dxa"/>
          </w:tcPr>
          <w:p w14:paraId="7963CC1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2504297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6B5CD8E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待填写：误检、漏检、框偏移、置信度变化等</w:t>
            </w:r>
          </w:p>
        </w:tc>
        <w:tc>
          <w:tcPr>
            <w:tcW w:w="1605" w:type="dxa"/>
          </w:tcPr>
          <w:p w14:paraId="33D3FF5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  <w:tr w14:paraId="6361F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 w14:paraId="4377DEF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1605" w:type="dxa"/>
          </w:tcPr>
          <w:p w14:paraId="6FD1544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示例：白天/夜晚/雨天/雾天/逆光等</w:t>
            </w:r>
          </w:p>
        </w:tc>
        <w:tc>
          <w:tcPr>
            <w:tcW w:w="1605" w:type="dxa"/>
          </w:tcPr>
          <w:p w14:paraId="26BD6C8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2D6EC50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6632F34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待填写：误检、漏检、框偏移、置信度变化等</w:t>
            </w:r>
          </w:p>
        </w:tc>
        <w:tc>
          <w:tcPr>
            <w:tcW w:w="1605" w:type="dxa"/>
          </w:tcPr>
          <w:p w14:paraId="54D9886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</w:tbl>
    <w:p w14:paraId="3E8189A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5.2 模型对比汇总表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605"/>
        <w:gridCol w:w="1605"/>
        <w:gridCol w:w="1605"/>
        <w:gridCol w:w="1605"/>
        <w:gridCol w:w="1605"/>
      </w:tblGrid>
      <w:tr w14:paraId="0DD55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05" w:type="dxa"/>
          </w:tcPr>
          <w:p w14:paraId="45B2491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模型</w:t>
            </w:r>
          </w:p>
        </w:tc>
        <w:tc>
          <w:tcPr>
            <w:tcW w:w="1605" w:type="dxa"/>
          </w:tcPr>
          <w:p w14:paraId="4888813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推理速度</w:t>
            </w:r>
          </w:p>
        </w:tc>
        <w:tc>
          <w:tcPr>
            <w:tcW w:w="1605" w:type="dxa"/>
          </w:tcPr>
          <w:p w14:paraId="6324EA2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检测精度主观评价</w:t>
            </w:r>
          </w:p>
        </w:tc>
        <w:tc>
          <w:tcPr>
            <w:tcW w:w="1605" w:type="dxa"/>
          </w:tcPr>
          <w:p w14:paraId="38CBE94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复杂场景鲁棒性</w:t>
            </w:r>
          </w:p>
        </w:tc>
        <w:tc>
          <w:tcPr>
            <w:tcW w:w="1605" w:type="dxa"/>
          </w:tcPr>
          <w:p w14:paraId="08B3AAF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适用场景</w:t>
            </w:r>
          </w:p>
        </w:tc>
        <w:tc>
          <w:tcPr>
            <w:tcW w:w="1605" w:type="dxa"/>
          </w:tcPr>
          <w:p w14:paraId="11E5D03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综合评价</w:t>
            </w:r>
          </w:p>
        </w:tc>
      </w:tr>
      <w:tr w14:paraId="0007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 w14:paraId="16A5E3F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SSD + MobileNet 类模型</w:t>
            </w:r>
          </w:p>
        </w:tc>
        <w:tc>
          <w:tcPr>
            <w:tcW w:w="1605" w:type="dxa"/>
          </w:tcPr>
          <w:p w14:paraId="0E866AC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0BF823B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432AB5C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52479C8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0A325B1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  <w:tr w14:paraId="5B83B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 w14:paraId="3DFE6AD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SSD PPN Shared Box Predictor</w:t>
            </w:r>
          </w:p>
        </w:tc>
        <w:tc>
          <w:tcPr>
            <w:tcW w:w="1605" w:type="dxa"/>
          </w:tcPr>
          <w:p w14:paraId="4D08BC9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2A30D82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76E93C2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6BCC59E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5A68C90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  <w:tr w14:paraId="38DCF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</w:tcPr>
          <w:p w14:paraId="16B3202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Faster R-CNN / 其他扩展模型</w:t>
            </w:r>
          </w:p>
        </w:tc>
        <w:tc>
          <w:tcPr>
            <w:tcW w:w="1605" w:type="dxa"/>
          </w:tcPr>
          <w:p w14:paraId="240E7EB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77F7F23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28384A5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3EC3B06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605" w:type="dxa"/>
          </w:tcPr>
          <w:p w14:paraId="2484D36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</w:tbl>
    <w:p w14:paraId="678B548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5.3 视频检测结果记录表（加分项）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1926"/>
        <w:gridCol w:w="1926"/>
        <w:gridCol w:w="1926"/>
        <w:gridCol w:w="1926"/>
      </w:tblGrid>
      <w:tr w14:paraId="6A5D3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6" w:type="dxa"/>
          </w:tcPr>
          <w:p w14:paraId="1A1F135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视频名称</w:t>
            </w:r>
          </w:p>
        </w:tc>
        <w:tc>
          <w:tcPr>
            <w:tcW w:w="1926" w:type="dxa"/>
          </w:tcPr>
          <w:p w14:paraId="490B52D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分辨率/FPS</w:t>
            </w:r>
          </w:p>
        </w:tc>
        <w:tc>
          <w:tcPr>
            <w:tcW w:w="1926" w:type="dxa"/>
          </w:tcPr>
          <w:p w14:paraId="271A92C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主要检测类别</w:t>
            </w:r>
          </w:p>
        </w:tc>
        <w:tc>
          <w:tcPr>
            <w:tcW w:w="1926" w:type="dxa"/>
          </w:tcPr>
          <w:p w14:paraId="743778A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帧间稳定性表现</w:t>
            </w:r>
          </w:p>
        </w:tc>
        <w:tc>
          <w:tcPr>
            <w:tcW w:w="1926" w:type="dxa"/>
          </w:tcPr>
          <w:p w14:paraId="45030D7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结果文件路径/截图编号</w:t>
            </w:r>
          </w:p>
        </w:tc>
      </w:tr>
      <w:tr w14:paraId="4D1B0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</w:tcPr>
          <w:p w14:paraId="4F276EA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926" w:type="dxa"/>
          </w:tcPr>
          <w:p w14:paraId="6167B10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926" w:type="dxa"/>
          </w:tcPr>
          <w:p w14:paraId="343A1E7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926" w:type="dxa"/>
          </w:tcPr>
          <w:p w14:paraId="206C485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待填写：抖动/漏检/延迟</w:t>
            </w:r>
          </w:p>
        </w:tc>
        <w:tc>
          <w:tcPr>
            <w:tcW w:w="1926" w:type="dxa"/>
          </w:tcPr>
          <w:p w14:paraId="1253B74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  <w:tr w14:paraId="4A26D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</w:tcPr>
          <w:p w14:paraId="35F42CA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926" w:type="dxa"/>
          </w:tcPr>
          <w:p w14:paraId="71886D7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926" w:type="dxa"/>
          </w:tcPr>
          <w:p w14:paraId="039DBF4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926" w:type="dxa"/>
          </w:tcPr>
          <w:p w14:paraId="525005B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待填写：抖动/漏检/延迟</w:t>
            </w:r>
          </w:p>
        </w:tc>
        <w:tc>
          <w:tcPr>
            <w:tcW w:w="1926" w:type="dxa"/>
          </w:tcPr>
          <w:p w14:paraId="205A292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  <w:tr w14:paraId="7E680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</w:tcPr>
          <w:p w14:paraId="1F6C986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926" w:type="dxa"/>
          </w:tcPr>
          <w:p w14:paraId="5B8119E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926" w:type="dxa"/>
          </w:tcPr>
          <w:p w14:paraId="1C2D727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  <w:tc>
          <w:tcPr>
            <w:tcW w:w="1926" w:type="dxa"/>
          </w:tcPr>
          <w:p w14:paraId="30B5383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待填写：抖动/漏检/延迟</w:t>
            </w:r>
          </w:p>
        </w:tc>
        <w:tc>
          <w:tcPr>
            <w:tcW w:w="1926" w:type="dxa"/>
          </w:tcPr>
          <w:p w14:paraId="7DFFBE8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待填写</w:t>
            </w:r>
          </w:p>
        </w:tc>
      </w:tr>
    </w:tbl>
    <w:p w14:paraId="18CDC30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5.4 结果分析（可直接使用的分析框架）</w:t>
      </w:r>
    </w:p>
    <w:p w14:paraId="36B9F379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在光照条件较好的白天场景中，基于 COCO 预训练的 SSD 类模型通常能够较稳定地识别车辆、行人、动物等常见目标，检测框位置较准确，置信度相对较高。</w:t>
      </w:r>
    </w:p>
    <w:p w14:paraId="5EA047C3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当场景转为夜晚、强逆光、雨雾天气时，图像对比度下降、边缘模糊或目标局部遮挡会导致检测置信度下降，出现漏检、类别混淆或边界框定位不准等现象。</w:t>
      </w:r>
    </w:p>
    <w:p w14:paraId="3AE80B3B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轻量化模型（如 SSD + MobileNet）通常具有较快的推理速度，更适合视频连续帧处理；但在复杂背景、小目标、遮挡目标或低照度场景下，其检测稳定性和精度可能弱于更复杂的高精度模型。</w:t>
      </w:r>
    </w:p>
    <w:p w14:paraId="58D84753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视频检测的本质是“逐帧图像检测”的串联，因此单帧误检与漏检会在时间维度上持续出现，表现为检测框闪烁、帧间不稳定或某些目标短时消失；若输入视频分辨率较高或帧率较大，则处理时间与存储开销也会明显上升。</w:t>
      </w:r>
    </w:p>
    <w:p w14:paraId="73190BFC">
      <w:pPr>
        <w:ind w:left="113" w:hanging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从工程实现角度看，课程实验验证了预训练模型调用的可行性，也说明了目标检测系统性能不仅取决于模型架构，还受到数据场景、输入质量、标签映射、阈值设置和视频编解码流程等因素的共同影响。</w:t>
      </w:r>
    </w:p>
    <w:p w14:paraId="1701B05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六、实验总结</w:t>
      </w:r>
    </w:p>
    <w:p w14:paraId="17821533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本实验围绕 TensorFlow Object Detection API 的调用与部署展开，完整覆盖了虚拟环境创建、依赖安装、源码下载、 Protobuf 编译、API 安装、图像检测与视频检测扩展等关键环节。实验结果表明，借助预训练模型可以较为高效地完成常见目标的识别任务，但检测性能仍与模型选择、场景复杂度和输入质量密切相关。</w:t>
      </w:r>
    </w:p>
    <w:p w14:paraId="226EF5C7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从实验方法上看，本实验训练价值主要体现在三个方面：其一，帮助学生理解“预训练模型 + 框架接口调用”的工程实践路径；其二，帮助学生建立从静态图像推理迁移到连续视频处理的实现思路；其三，帮助学生认识到目标检测系统不仅是算法问题，也是环境配置、数据组织与结果评估共同作用的系统工程问题。</w:t>
      </w:r>
    </w:p>
    <w:p w14:paraId="752FBCC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七、常见问题及解决方法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46ED4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16" w:type="dxa"/>
          </w:tcPr>
          <w:p w14:paraId="4482182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常见问题</w:t>
            </w:r>
          </w:p>
        </w:tc>
        <w:tc>
          <w:tcPr>
            <w:tcW w:w="4816" w:type="dxa"/>
          </w:tcPr>
          <w:p w14:paraId="1ECC8AB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原因分析与解决方法</w:t>
            </w:r>
          </w:p>
        </w:tc>
      </w:tr>
      <w:tr w14:paraId="7DB01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763B463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protoc 命令无法识别</w:t>
            </w:r>
          </w:p>
        </w:tc>
        <w:tc>
          <w:tcPr>
            <w:tcW w:w="4816" w:type="dxa"/>
          </w:tcPr>
          <w:p w14:paraId="281FFFE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通常是因为 Protoc 未加入系统 PATH，或终端未重新打开导致环境变量未生效。应检查安装目录是否正确，并在新的终端中执行 protoc 进行验证。</w:t>
            </w:r>
          </w:p>
        </w:tc>
      </w:tr>
      <w:tr w14:paraId="07FA1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616E334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object_detection 模块导入失败</w:t>
            </w:r>
          </w:p>
        </w:tc>
        <w:tc>
          <w:tcPr>
            <w:tcW w:w="4816" w:type="dxa"/>
          </w:tcPr>
          <w:p w14:paraId="37B838D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多由 .proto 文件未成功编译或 pip install . 未正确执行引起。应先在 models/research 下重新执行 protoc 编译，再重新安装 API。</w:t>
            </w:r>
          </w:p>
        </w:tc>
      </w:tr>
      <w:tr w14:paraId="1230D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5F1F910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模型无法加载或下载失败</w:t>
            </w:r>
          </w:p>
        </w:tc>
        <w:tc>
          <w:tcPr>
            <w:tcW w:w="4816" w:type="dxa"/>
          </w:tcPr>
          <w:p w14:paraId="63E7A52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可能是网络连接不稳定、模型名称写错，或下载目录残缺。应检查 model_name 是否与官方模型文件一致，并必要时清理缓存后重新下载。</w:t>
            </w:r>
          </w:p>
        </w:tc>
      </w:tr>
      <w:tr w14:paraId="41AD1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07FDB8A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标签名称显示异常</w:t>
            </w:r>
          </w:p>
        </w:tc>
        <w:tc>
          <w:tcPr>
            <w:tcW w:w="4816" w:type="dxa"/>
          </w:tcPr>
          <w:p w14:paraId="220B8FA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常见原因是 PATH_TO_LABELS 路径错误，导致 mscoco_label_map.pbtxt 未被正确读取。应检查绝对路径和转义符书写是否正确。</w:t>
            </w:r>
          </w:p>
        </w:tc>
      </w:tr>
      <w:tr w14:paraId="15F3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635F33B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图像或视频路径读取失败</w:t>
            </w:r>
          </w:p>
        </w:tc>
        <w:tc>
          <w:tcPr>
            <w:tcW w:w="4816" w:type="dxa"/>
          </w:tcPr>
          <w:p w14:paraId="1BDE7C9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通常是文件路径拼写错误、目录不存在，或 Windows 路径中的反斜杠未正确处理。建议使用 os.path.join 或 pathlib 统一构造路径。</w:t>
            </w:r>
          </w:p>
        </w:tc>
      </w:tr>
      <w:tr w14:paraId="367B1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1110B9F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视频输出无法播放或结果为空</w:t>
            </w:r>
          </w:p>
        </w:tc>
        <w:tc>
          <w:tcPr>
            <w:tcW w:w="4816" w:type="dxa"/>
          </w:tcPr>
          <w:p w14:paraId="348DB21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可能与输入视频未成功打开、编码器不兼容或帧循环异常退出有关。应先检查 cap.isOpened() 的返回值，并确认 VideoWriter 编码格式与输出后缀匹配。</w:t>
            </w:r>
          </w:p>
        </w:tc>
      </w:tr>
      <w:tr w14:paraId="4CB28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74089B3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检测速度较慢</w:t>
            </w:r>
          </w:p>
        </w:tc>
        <w:tc>
          <w:tcPr>
            <w:tcW w:w="4816" w:type="dxa"/>
          </w:tcPr>
          <w:p w14:paraId="2D66515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通常由模型较大、CPU 推理或视频分辨率过高导致。可尝试更换轻量模型、降低输入分辨率或减少测试帧数。</w:t>
            </w:r>
          </w:p>
        </w:tc>
      </w:tr>
      <w:tr w14:paraId="7378C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</w:tcPr>
          <w:p w14:paraId="5668F92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检测框抖动或误检较多</w:t>
            </w:r>
          </w:p>
        </w:tc>
        <w:tc>
          <w:tcPr>
            <w:tcW w:w="4816" w:type="dxa"/>
          </w:tcPr>
          <w:p w14:paraId="0BF03CE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这往往不是代码错误，而是模型在复杂场景中的正常表现。可通过提高 score_thresh、选择更稳健的模型或增加后处理策略进行改善。</w:t>
            </w:r>
          </w:p>
        </w:tc>
      </w:tr>
    </w:tbl>
    <w:p w14:paraId="39576DE8">
      <w:pPr>
        <w:rPr>
          <w:rFonts w:hint="eastAsia" w:ascii="宋体" w:hAnsi="宋体" w:eastAsia="宋体" w:cs="宋体"/>
        </w:rPr>
      </w:pPr>
    </w:p>
    <w:p w14:paraId="07087858">
      <w:pPr>
        <w:pStyle w:val="165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/>
          <w:color w:val="666666"/>
        </w:rPr>
        <w:t>说明：本报告为依据课程 PDF 与配套代码整理形成的正式写作稿，可直接继续补充个人实验截图、模型运行结果和实测数据后提交。</w:t>
      </w:r>
    </w:p>
    <w:sectPr>
      <w:pgSz w:w="12240" w:h="15840"/>
      <w:pgMar w:top="1247" w:right="1247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06D46">
    <w:pPr>
      <w:pStyle w:val="24"/>
      <w:jc w:val="center"/>
    </w:pPr>
    <w:r>
      <w:rPr>
        <w:rFonts w:ascii="Noto Sans CJK SC" w:hAnsi="Noto Sans CJK SC" w:eastAsia="Noto Sans CJK SC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Noto Sans CJK SC" w:hAnsi="Noto Sans CJK SC" w:eastAsia="Noto Sans CJK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C5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Noto Serif CJK SC" w:hAnsi="Noto Serif CJK SC" w:eastAsia="Noto Serif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F4E79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00" w:after="12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ody First Indent"/>
    <w:uiPriority w:val="0"/>
    <w:pPr>
      <w:spacing w:after="120" w:line="360" w:lineRule="auto"/>
      <w:ind w:firstLine="420"/>
    </w:pPr>
    <w:rPr>
      <w:rFonts w:ascii="Noto Serif CJK SC" w:hAnsi="Noto Serif CJK SC" w:eastAsia="Noto Serif CJK SC" w:cstheme="minorBidi"/>
      <w:sz w:val="22"/>
      <w:szCs w:val="22"/>
      <w:lang w:val="en-US" w:eastAsia="en-US" w:bidi="ar-SA"/>
    </w:rPr>
  </w:style>
  <w:style w:type="paragraph" w:customStyle="1" w:styleId="165">
    <w:name w:val="Small Note"/>
    <w:uiPriority w:val="0"/>
    <w:pPr>
      <w:spacing w:after="80" w:line="300" w:lineRule="auto"/>
    </w:pPr>
    <w:rPr>
      <w:rFonts w:ascii="Noto Serif CJK SC" w:hAnsi="Noto Serif CJK SC" w:eastAsia="Noto Serif CJK SC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2623</Words>
  <Characters>4593</Characters>
  <Lines>0</Lines>
  <Paragraphs>0</Paragraphs>
  <TotalTime>1</TotalTime>
  <ScaleCrop>false</ScaleCrop>
  <LinksUpToDate>false</LinksUpToDate>
  <CharactersWithSpaces>4924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yybb</cp:lastModifiedBy>
  <dcterms:modified xsi:type="dcterms:W3CDTF">2026-04-16T17:27:11Z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eyJoZGlkIjoiNDk5YjQ4Mjk2ODRlMDUyZDY5NGQzODQ5NzUwM2EzYmEiLCJ1c2VySWQiOiIxMzAyNzg2MTIzIn0=</vt:lpwstr>
  </property>
  <property fmtid="{D5CDD505-2E9C-101B-9397-08002B2CF9AE}" pid="3" name="KSOProductBuildVer">
    <vt:lpwstr>2052-12.1.0.19302</vt:lpwstr>
  </property>
  <property fmtid="{D5CDD505-2E9C-101B-9397-08002B2CF9AE}" pid="4" name="ICV">
    <vt:lpwstr>9F60C85961614E5EA9A1B125C6C55872_12</vt:lpwstr>
  </property>
</Properties>
</file>