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건설공사 표준 도급 계약서</w:t>
      </w:r>
    </w:p>
    <w:p>
      <w:r>
        <w:br/>
      </w:r>
    </w:p>
    <w:p>
      <w:pPr>
        <w:pStyle w:val="Heading1"/>
      </w:pPr>
      <w:r>
        <w:t>제1조 (총칙)</w:t>
      </w:r>
    </w:p>
    <w:p>
      <w:pPr>
        <w:jc w:val="both"/>
      </w:pPr>
      <w:r>
        <w:t>발주처 (주)대한건설(이하 '갑')과 원도급사 (주)한국토건(이하 '을')은 '서울-세종 고속도로 제4공구 건설공사'에 대하여 상호 신뢰를 바탕으로 계약을 체결한다.</w:t>
      </w:r>
    </w:p>
    <w:p>
      <w:r>
        <w:br/>
      </w:r>
    </w:p>
    <w:p>
      <w:pPr>
        <w:pStyle w:val="Heading1"/>
      </w:pPr>
      <w:r>
        <w:t>제18조 (공기 연장)</w:t>
      </w:r>
    </w:p>
    <w:p>
      <w:pPr>
        <w:jc w:val="both"/>
      </w:pPr>
      <w:r>
        <w:t>1. 천재지변, 불가항력의 사유 또는 '갑'의 귀책사유로 인하여 공사가 지연될 경우 '을'은 공기 연장을 요청할 수 있다.</w:t>
        <w:br/>
        <w:t>2. '갑'은 '을'의 요청이 타당하다고 인정될 경우 공기 연장과 함께 계약 금액 조정을 승인하여야 한다.</w:t>
      </w:r>
    </w:p>
    <w:p>
      <w:r>
        <w:br/>
      </w:r>
    </w:p>
    <w:p>
      <w:pPr>
        <w:pStyle w:val="Heading1"/>
      </w:pPr>
      <w:r>
        <w:t>제25조 (설계 변경)</w:t>
      </w:r>
    </w:p>
    <w:p>
      <w:pPr>
        <w:jc w:val="both"/>
      </w:pPr>
      <w:r>
        <w:t>1. 발주처의 필요에 의한 설계 변경 시 발생하는 추가 비용은 실비 정산하여 계약 금액에 반영한다.</w:t>
        <w:br/>
        <w:t>2. '을'은 설계 변경 지시를 받은 날로부터 14일 이내에 변경 견적서를 제출하여야 한다.</w:t>
      </w:r>
    </w:p>
    <w:p>
      <w:r>
        <w:br/>
      </w:r>
    </w:p>
    <w:p>
      <w:pPr>
        <w:pStyle w:val="Heading1"/>
      </w:pPr>
      <w:r>
        <w:t>제30조 (지체상금)</w:t>
      </w:r>
    </w:p>
    <w:p>
      <w:pPr>
        <w:jc w:val="both"/>
      </w:pPr>
      <w:r>
        <w:t>준공 기한 내 공사를 완료하지 못할 경우, 매 지체일수마다 계약금액의 1,000분의 1에 해당하는 금액을 지체상금으로 납부한다.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