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2B2E1">
      <w:pPr>
        <w:pStyle w:val="3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u w:val="none"/>
        </w:rPr>
      </w:pPr>
    </w:p>
    <w:p w14:paraId="305BE288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outlineLvl w:val="0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u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_GBK"/>
          <w:b w:val="0"/>
          <w:color w:val="auto"/>
          <w:sz w:val="44"/>
          <w:szCs w:val="44"/>
          <w:u w:val="none"/>
        </w:rPr>
        <w:t>关于高质量数据集</w:t>
      </w:r>
      <w:r>
        <w:rPr>
          <w:rFonts w:hint="eastAsia" w:ascii="方正小标宋简体" w:hAnsi="方正小标宋简体" w:eastAsia="方正小标宋简体" w:cs="方正小标宋_GBK"/>
          <w:b w:val="0"/>
          <w:color w:val="auto"/>
          <w:sz w:val="44"/>
          <w:szCs w:val="44"/>
          <w:u w:val="none"/>
          <w:lang w:eastAsia="zh-CN"/>
        </w:rPr>
        <w:t>、</w:t>
      </w:r>
      <w:r>
        <w:rPr>
          <w:rFonts w:hint="eastAsia" w:ascii="方正小标宋简体" w:hAnsi="方正小标宋简体" w:eastAsia="方正小标宋简体" w:cs="方正小标宋_GBK"/>
          <w:b w:val="0"/>
          <w:color w:val="auto"/>
          <w:sz w:val="44"/>
          <w:szCs w:val="44"/>
          <w:u w:val="none"/>
          <w:lang w:val="en-US" w:eastAsia="zh-CN"/>
        </w:rPr>
        <w:t>垂类模型和智能体</w:t>
      </w:r>
    </w:p>
    <w:p w14:paraId="615B215D">
      <w:pPr>
        <w:pStyle w:val="3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94" w:afterLines="100" w:line="520" w:lineRule="exact"/>
        <w:jc w:val="center"/>
        <w:textAlignment w:val="auto"/>
        <w:outlineLvl w:val="0"/>
        <w:rPr>
          <w:rFonts w:hint="default" w:ascii="Times New Roman" w:hAnsi="Times New Roman" w:cs="Times New Roman"/>
          <w:color w:val="auto"/>
          <w:lang w:eastAsia="zh-CN"/>
        </w:rPr>
      </w:pPr>
      <w:r>
        <w:rPr>
          <w:rFonts w:hint="eastAsia" w:ascii="方正小标宋简体" w:hAnsi="方正小标宋简体" w:eastAsia="方正小标宋简体" w:cs="方正小标宋_GBK"/>
          <w:b w:val="0"/>
          <w:color w:val="auto"/>
          <w:sz w:val="44"/>
          <w:szCs w:val="44"/>
          <w:u w:val="none"/>
          <w:lang w:val="en-US" w:eastAsia="zh-CN"/>
        </w:rPr>
        <w:t>有关</w:t>
      </w:r>
      <w:r>
        <w:rPr>
          <w:rFonts w:hint="eastAsia" w:ascii="方正小标宋简体" w:hAnsi="方正小标宋简体" w:eastAsia="方正小标宋简体" w:cs="方正小标宋_GBK"/>
          <w:b w:val="0"/>
          <w:color w:val="auto"/>
          <w:sz w:val="44"/>
          <w:szCs w:val="44"/>
          <w:u w:val="none"/>
        </w:rPr>
        <w:t>工作的建议</w:t>
      </w:r>
    </w:p>
    <w:p w14:paraId="66B9AF49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0"/>
        <w:jc w:val="both"/>
        <w:textAlignment w:val="auto"/>
        <w:rPr>
          <w:rFonts w:hint="default" w:ascii="Times New Roman" w:hAnsi="Times New Roman" w:eastAsia="方正黑体_GBK" w:cs="Times New Roman"/>
          <w:b w:val="0"/>
          <w:color w:val="auto"/>
          <w:sz w:val="32"/>
          <w:szCs w:val="32"/>
          <w:u w:val="none"/>
        </w:rPr>
      </w:pPr>
      <w:r>
        <w:rPr>
          <w:rFonts w:hint="default" w:ascii="黑体" w:hAnsi="黑体" w:eastAsia="黑体" w:cs="Times New Roman"/>
          <w:b w:val="0"/>
          <w:color w:val="auto"/>
          <w:kern w:val="44"/>
          <w:sz w:val="32"/>
          <w:szCs w:val="32"/>
        </w:rPr>
        <w:t>一、</w:t>
      </w:r>
      <w:r>
        <w:rPr>
          <w:rFonts w:hint="default" w:ascii="黑体" w:hAnsi="黑体" w:eastAsia="黑体" w:cs="Times New Roman"/>
          <w:color w:val="auto"/>
          <w:sz w:val="32"/>
          <w:szCs w:val="32"/>
          <w:u w:val="none"/>
        </w:rPr>
        <w:t>国家层面已开展工作</w:t>
      </w:r>
    </w:p>
    <w:p w14:paraId="2D132AD3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eastAsia="方正仿宋_GBK" w:cs="Times New Roman"/>
          <w:color w:val="auto"/>
          <w:sz w:val="32"/>
          <w:szCs w:val="32"/>
          <w:u w:val="none"/>
        </w:rPr>
      </w:pPr>
      <w:r>
        <w:rPr>
          <w:rFonts w:hint="default" w:ascii="方正仿宋_GBK" w:hAnsi="方正仿宋_GBK" w:eastAsia="方正仿宋_GBK" w:cs="Times New Roman"/>
          <w:b w:val="0"/>
          <w:bCs w:val="0"/>
          <w:color w:val="auto"/>
          <w:sz w:val="32"/>
          <w:szCs w:val="32"/>
          <w:u w:val="none"/>
        </w:rPr>
        <w:t>近期，国家数据局、工业和信息化部等部门坚持系统谋划与专项突破相结合，围绕数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</w:rPr>
        <w:t>据要素价值释放与高质量供给，部署推动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  <w:lang w:val="en-US" w:eastAsia="zh-CN"/>
        </w:rPr>
        <w:t>有关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</w:rPr>
        <w:t>工作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  <w:lang w:val="en-US" w:eastAsia="zh-CN"/>
        </w:rPr>
        <w:t>如下：</w:t>
      </w:r>
    </w:p>
    <w:p w14:paraId="38148E97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eastAsia="方正仿宋_GBK" w:cs="Times New Roman"/>
          <w:b/>
          <w:color w:val="auto"/>
          <w:sz w:val="32"/>
          <w:szCs w:val="32"/>
          <w:u w:val="none"/>
        </w:rPr>
      </w:pPr>
      <w:r>
        <w:rPr>
          <w:rFonts w:ascii="方正楷体_GBK" w:hAnsi="方正楷体_GBK" w:eastAsia="方正楷体_GBK"/>
          <w:b w:val="0"/>
          <w:sz w:val="32"/>
        </w:rPr>
        <w:t>（一）深入实施“数据要素×”三年行动计划。</w:t>
      </w:r>
      <w:r>
        <w:rPr>
          <w:rFonts w:ascii="方正仿宋_GBK" w:hAnsi="方正仿宋_GBK" w:eastAsia="方正仿宋_GBK"/>
          <w:b w:val="0"/>
          <w:sz w:val="32"/>
        </w:rPr>
        <w:t>国家数据局牵头印发《“数据要素×”三年行动计划（2024—2026年）》（国数政策〔2023〕11号），明确将“强化场景牵引”与“推动数据供给”作为核心任务，重点聚焦工业制造、现代农业、商贸流通等12个关键领域，深入挖掘高价值数据应用场景，推动多模态数据集合成、数据质量评估等技术手段的创新应用，着力提升数据供给水平，促进数据合规高效流通，为垂直大模型训练和场景级智能体孵化提供了丰富的“燃料”。</w:t>
      </w:r>
    </w:p>
    <w:p w14:paraId="6CEB1640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eastAsia="方正仿宋_GBK" w:cs="Times New Roman"/>
          <w:color w:val="auto"/>
          <w:sz w:val="32"/>
          <w:szCs w:val="32"/>
          <w:u w:val="none"/>
        </w:rPr>
      </w:pPr>
      <w:r>
        <w:rPr>
          <w:rFonts w:ascii="方正楷体_GBK" w:hAnsi="方正楷体_GBK" w:eastAsia="方正楷体_GBK"/>
          <w:b w:val="0"/>
          <w:sz w:val="32"/>
        </w:rPr>
        <w:t>（二）全面部署“数据要素价值释放年”。</w:t>
      </w:r>
      <w:r>
        <w:rPr>
          <w:rFonts w:ascii="方正仿宋_GBK" w:hAnsi="方正仿宋_GBK" w:eastAsia="方正仿宋_GBK"/>
          <w:b w:val="0"/>
          <w:sz w:val="32"/>
        </w:rPr>
        <w:t>全国数据工作会议明确2026年为“数据要素价值释放年”，国家数据局围绕“供得出、流得动、用得好、保安全”四大目标，对全国一体化数据市场作出全面部署。重点对标“五统一、一开放”（统一基础制度、设施标准、流通规则、安全治理、市场监管及开放市场生态）要求，激活供需两端，确保数据要素深度融入经济价值创造全过程。</w:t>
      </w:r>
    </w:p>
    <w:p w14:paraId="49DC3582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eastAsia="MS Gothic" w:cs="Times New Roman"/>
          <w:b/>
          <w:color w:val="auto"/>
          <w:sz w:val="32"/>
          <w:szCs w:val="32"/>
          <w:u w:val="none"/>
        </w:rPr>
      </w:pPr>
      <w:r>
        <w:rPr>
          <w:rFonts w:ascii="方正楷体_GBK" w:hAnsi="方正楷体_GBK" w:eastAsia="方正楷体_GBK"/>
          <w:b w:val="0"/>
          <w:sz w:val="32"/>
        </w:rPr>
        <w:t>（三）专项推进“人工智能＋制造”数据建设。</w:t>
      </w:r>
      <w:r>
        <w:rPr>
          <w:rFonts w:ascii="方正仿宋_GBK" w:hAnsi="方正仿宋_GBK" w:eastAsia="方正仿宋_GBK"/>
          <w:b w:val="0"/>
          <w:sz w:val="32"/>
        </w:rPr>
        <w:t>工业和信息化部联合八部门印发《“人工智能＋制造”专项行动实施意见》（工信部联科〔2025〕279号），明确提出推动3—5个通用大模型深度应用，形成特色化、全覆盖的行业大模型，推出1000个高水平工业智能体，打造100个工业领域高质量数据集，推广500个典型应用场景。同时，部署了建设高水平人工智能开源社区、建立垂直大模型评测基准体系等举措，深化人工智能技术与制造业应用“双向赋能”。</w:t>
      </w:r>
    </w:p>
    <w:p w14:paraId="4D754A3A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0"/>
        <w:jc w:val="both"/>
        <w:textAlignment w:val="auto"/>
        <w:rPr>
          <w:rFonts w:hint="default" w:ascii="Times New Roman" w:hAnsi="Times New Roman" w:eastAsia="方正黑体_GBK" w:cs="Times New Roman"/>
          <w:b w:val="0"/>
          <w:color w:val="auto"/>
          <w:sz w:val="32"/>
          <w:szCs w:val="32"/>
          <w:u w:val="none"/>
        </w:rPr>
      </w:pPr>
      <w:r>
        <w:rPr>
          <w:rFonts w:hint="default" w:ascii="黑体" w:hAnsi="黑体" w:eastAsia="黑体" w:cs="Times New Roman"/>
          <w:b w:val="0"/>
          <w:color w:val="auto"/>
          <w:kern w:val="44"/>
          <w:sz w:val="32"/>
          <w:szCs w:val="32"/>
        </w:rPr>
        <w:t>二、</w:t>
      </w:r>
      <w:r>
        <w:rPr>
          <w:rFonts w:hint="default" w:ascii="黑体" w:hAnsi="黑体" w:eastAsia="黑体" w:cs="Times New Roman"/>
          <w:color w:val="auto"/>
          <w:sz w:val="32"/>
          <w:szCs w:val="32"/>
          <w:u w:val="none"/>
        </w:rPr>
        <w:t>发展建议</w:t>
      </w:r>
    </w:p>
    <w:p w14:paraId="13FCDE0E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eastAsia="方正仿宋_GBK" w:cs="Times New Roman"/>
          <w:color w:val="auto"/>
          <w:sz w:val="32"/>
          <w:szCs w:val="32"/>
          <w:u w:val="none"/>
        </w:rPr>
      </w:pP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</w:rPr>
        <w:t>为进一步深化高质量数据集建设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  <w:lang w:val="en-US" w:eastAsia="zh-CN"/>
        </w:rPr>
        <w:t>及人工智能深度应用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</w:rPr>
        <w:t>，建议聚焦协同机制、标准规范与公共服务三大关键环节，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  <w:lang w:val="en-US" w:eastAsia="zh-CN"/>
        </w:rPr>
        <w:t>多措并举、持续发力</w:t>
      </w:r>
      <w:r>
        <w:rPr>
          <w:rFonts w:hint="default" w:ascii="方正仿宋_GBK" w:hAnsi="方正仿宋_GBK" w:eastAsia="方正仿宋_GBK" w:cs="Times New Roman"/>
          <w:b w:val="0"/>
          <w:color w:val="auto"/>
          <w:sz w:val="32"/>
          <w:szCs w:val="32"/>
          <w:u w:val="none"/>
        </w:rPr>
        <w:t>。</w:t>
      </w:r>
    </w:p>
    <w:p w14:paraId="332F1633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eastAsia="方正仿宋_GBK" w:cs="Times New Roman"/>
          <w:b/>
          <w:color w:val="auto"/>
          <w:sz w:val="32"/>
          <w:szCs w:val="32"/>
          <w:u w:val="none"/>
        </w:rPr>
      </w:pPr>
      <w:r>
        <w:rPr>
          <w:rFonts w:ascii="方正楷体_GBK" w:hAnsi="方正楷体_GBK" w:eastAsia="方正楷体_GBK"/>
          <w:b w:val="0"/>
          <w:sz w:val="32"/>
        </w:rPr>
        <w:t>（一）构建跨省数据协同机制，打破区域壁垒。</w:t>
      </w:r>
      <w:r>
        <w:rPr>
          <w:rFonts w:ascii="方正仿宋_GBK" w:hAnsi="方正仿宋_GBK" w:eastAsia="方正仿宋_GBK"/>
          <w:b w:val="0"/>
          <w:sz w:val="32"/>
        </w:rPr>
        <w:t>建议由行业龙头企业牵头，联合各省市相关数据供应商与技术服务商，建立“数据协同－模型训练－应用落地”一体化机制。依托“东数西算”工程框架，构建跨区域算力调度与数据流通网络。采用隐私计算、区块链等可信流通技术，实现跨省数据的联合分析与模型训练。基于跨区域高质量数据联合训练行业垂直大模型，并依托模型能力孵化面向特定场景的智能体。</w:t>
      </w:r>
    </w:p>
    <w:p w14:paraId="6D9EBAD1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eastAsia="方正仿宋_GBK" w:cs="Times New Roman"/>
          <w:b/>
          <w:color w:val="auto"/>
          <w:sz w:val="32"/>
          <w:szCs w:val="32"/>
          <w:u w:val="none"/>
        </w:rPr>
      </w:pPr>
      <w:r>
        <w:rPr>
          <w:rFonts w:ascii="方正楷体_GBK" w:hAnsi="方正楷体_GBK" w:eastAsia="方正楷体_GBK"/>
          <w:b w:val="0"/>
          <w:sz w:val="32"/>
        </w:rPr>
        <w:t>（二）制定统一数据标准体系，提升互通能力。</w:t>
      </w:r>
      <w:r>
        <w:rPr>
          <w:rFonts w:ascii="方正仿宋_GBK" w:hAnsi="方正仿宋_GBK" w:eastAsia="方正仿宋_GBK"/>
          <w:b w:val="0"/>
          <w:sz w:val="32"/>
        </w:rPr>
        <w:t>建议由行业协会、标准化委员会联合牵头，联动制造业数字化转型“一图四清单”，制定分行业的高质量数据集标准。重点涵盖多模态数据标注规范、模型训练接口协议及智能体交互标准，引导企业统一数据接口与元数据格式，提升数据资源复用价值，为大模型训练和智能体协作奠定标准基础。</w:t>
      </w:r>
    </w:p>
    <w:p w14:paraId="2E7D3994">
      <w:pPr>
        <w:pStyle w:val="1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32"/>
          <w:szCs w:val="32"/>
          <w:u w:val="none"/>
        </w:rPr>
      </w:pPr>
      <w:r>
        <w:rPr>
          <w:rFonts w:ascii="方正楷体_GBK" w:hAnsi="方正楷体_GBK" w:eastAsia="方正楷体_GBK"/>
          <w:b w:val="0"/>
          <w:sz w:val="32"/>
        </w:rPr>
        <w:t>（三）搭建数据公共服务平台，优化生态环境。</w:t>
      </w:r>
      <w:r>
        <w:rPr>
          <w:rFonts w:ascii="方正仿宋_GBK" w:hAnsi="方正仿宋_GBK" w:eastAsia="方正仿宋_GBK"/>
          <w:b/>
          <w:bCs/>
          <w:sz w:val="32"/>
        </w:rPr>
        <w:t>建议依托国家级制造业数字化转型促进中心等创新载体，搭建“工业数据资源公共服务平台”。重点提供针对垂直大模型训练的数据清洗、数据标注及数据合成等服务，切实降低中小企业开展模型训练与调优的门槛。</w:t>
      </w:r>
      <w:r>
        <w:rPr>
          <w:rFonts w:hint="eastAsia" w:ascii="方正小标宋简体" w:hAnsi="方正小标宋简体" w:eastAsia="方正小标宋简体" w:cs="方正小标宋简体"/>
          <w:b/>
          <w:bCs/>
          <w:sz w:val="18"/>
          <w:szCs w:val="18"/>
        </w:rPr>
        <w:t>同时，建立“智能</w:t>
      </w:r>
      <w:r>
        <w:rPr>
          <w:rFonts w:ascii="方正仿宋_GBK" w:hAnsi="方正仿宋_GBK" w:eastAsia="方正仿宋_GBK"/>
          <w:b/>
          <w:bCs/>
          <w:sz w:val="32"/>
        </w:rPr>
        <w:t>体孵化空间”，基于高质量数据集开发具备感知、决策与执行能力的工业智能体，形成“开源语料库＋模型工场＋</w:t>
      </w:r>
      <w:bookmarkStart w:id="0" w:name="_GoBack"/>
      <w:bookmarkEnd w:id="0"/>
      <w:r>
        <w:rPr>
          <w:rFonts w:ascii="方正仿宋_GBK" w:hAnsi="方正仿宋_GBK" w:eastAsia="方正仿宋_GBK"/>
          <w:b/>
          <w:bCs/>
          <w:sz w:val="32"/>
        </w:rPr>
        <w:t>智能体超市”的良性循环，加速智能体在垂直行业应用渗透。</w:t>
      </w:r>
    </w:p>
    <w:sectPr>
      <w:headerReference r:id="rId5" w:type="default"/>
      <w:footerReference r:id="rId6" w:type="default"/>
      <w:pgSz w:w="11906" w:h="16838"/>
      <w:pgMar w:top="1962" w:right="1474" w:bottom="1848" w:left="1587" w:header="851" w:footer="1049" w:gutter="0"/>
      <w:pgNumType w:fmt="decimal"/>
      <w:cols w:space="720" w:num="1"/>
      <w:docGrid w:type="linesAndChars" w:linePitch="592" w:charSpace="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97700FE-7147-4675-AEF3-C52D0D26B2A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7C7DAFA3-A2F0-42E9-B260-598003D58BDA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3" w:fontKey="{A6C87FFA-7885-48E3-A1F5-0E65AEB880D1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D9A267DE-A61B-4F73-A6C0-30B9FC624660}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DC7E45D1-92D2-4780-B2B9-C2C18607DD3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  <w:embedRegular r:id="rId6" w:fontKey="{A3A7FD48-924B-4A6A-B9F3-21D083A25A2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7" w:fontKey="{FC66081F-AE96-4CAE-AF0C-7F17A3E7E7F2}"/>
  </w:font>
  <w:font w:name="GWZT-EN">
    <w:panose1 w:val="02020400000000000000"/>
    <w:charset w:val="00"/>
    <w:family w:val="auto"/>
    <w:pitch w:val="default"/>
    <w:sig w:usb0="A00002BF" w:usb1="38CF7CFA" w:usb2="00082016" w:usb3="00000000" w:csb0="00000003" w:csb1="00000000"/>
    <w:embedRegular r:id="rId8" w:fontKey="{EC8E6514-8BCC-418D-8BB6-FBFCE8E26B4C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2ECB4">
    <w:pPr>
      <w:pStyle w:val="24"/>
      <w:spacing w:line="471" w:lineRule="auto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71755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979082">
                          <w:pPr>
                            <w:pStyle w:val="24"/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</w:pP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  <w:t>—</w:t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4"/>
                            </w:rPr>
                            <w:t>　</w:t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  <w:t>1</w:t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4"/>
                            </w:rPr>
                            <w:t>　</w:t>
                          </w:r>
                          <w:r>
                            <w:rPr>
                              <w:rFonts w:hint="default" w:ascii="GWZT-EN" w:hAnsi="GWZT-EN" w:eastAsia="GWZT-EN" w:cs="GWZT-EN"/>
                              <w:b w:val="0"/>
                              <w:bCs w:val="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1625" tIns="0" rIns="201625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5.65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N1ZtjWAAAABwEAAA8AAAAAAAAAAQAgAAAAIgAAAGRycy9kb3ducmV2&#10;LnhtbFBLAQIUABQAAAAIAIdO4kD1LbgA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5.8759842519685pt,0mm,15.8759842519685pt,0mm" style="mso-fit-shape-to-text:t;">
                <w:txbxContent>
                  <w:p w14:paraId="3E979082">
                    <w:pPr>
                      <w:pStyle w:val="24"/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</w:pP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  <w:t>—</w:t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4"/>
                      </w:rPr>
                      <w:t>　</w:t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  <w:fldChar w:fldCharType="begin"/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  <w:fldChar w:fldCharType="separate"/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  <w:t>1</w:t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  <w:fldChar w:fldCharType="end"/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4"/>
                      </w:rPr>
                      <w:t>　</w:t>
                    </w:r>
                    <w:r>
                      <w:rPr>
                        <w:rFonts w:hint="default" w:ascii="GWZT-EN" w:hAnsi="GWZT-EN" w:eastAsia="GWZT-EN" w:cs="GWZT-EN"/>
                        <w:b w:val="0"/>
                        <w:bCs w:val="0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88E04">
    <w:pPr>
      <w:pStyle w:val="2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TrueTypeFonts/>
  <w:saveSubsetFonts/>
  <w:bordersDoNotSurroundHeader w:val="0"/>
  <w:bordersDoNotSurroundFooter w:val="0"/>
  <w:documentProtection w:enforcement="0"/>
  <w:defaultTabStop w:val="720"/>
  <w:drawingGridHorizontalSpacing w:val="158"/>
  <w:drawingGridVerticalSpacing w:val="29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AEB"/>
    <w:rsid w:val="00A641FB"/>
    <w:rsid w:val="00AA1D8D"/>
    <w:rsid w:val="00B47730"/>
    <w:rsid w:val="00B52690"/>
    <w:rsid w:val="00CB0664"/>
    <w:rsid w:val="00FC693F"/>
    <w:rsid w:val="03EE3926"/>
    <w:rsid w:val="065B5A88"/>
    <w:rsid w:val="0CA738FE"/>
    <w:rsid w:val="0CC872A8"/>
    <w:rsid w:val="146A2525"/>
    <w:rsid w:val="14860174"/>
    <w:rsid w:val="14E9685A"/>
    <w:rsid w:val="1AD51D3E"/>
    <w:rsid w:val="1B5A792B"/>
    <w:rsid w:val="1B707488"/>
    <w:rsid w:val="1C8E406A"/>
    <w:rsid w:val="1C9442FC"/>
    <w:rsid w:val="1CA05B4B"/>
    <w:rsid w:val="1F703EFB"/>
    <w:rsid w:val="20054643"/>
    <w:rsid w:val="218A5DEE"/>
    <w:rsid w:val="21FD14B7"/>
    <w:rsid w:val="237E477B"/>
    <w:rsid w:val="26760048"/>
    <w:rsid w:val="28A27E96"/>
    <w:rsid w:val="29D56857"/>
    <w:rsid w:val="29E76B67"/>
    <w:rsid w:val="2E072EE4"/>
    <w:rsid w:val="307F3F9D"/>
    <w:rsid w:val="31DE5041"/>
    <w:rsid w:val="324C6101"/>
    <w:rsid w:val="329E0792"/>
    <w:rsid w:val="37DA7D0B"/>
    <w:rsid w:val="3CDA542A"/>
    <w:rsid w:val="3F4D432C"/>
    <w:rsid w:val="44DE708D"/>
    <w:rsid w:val="473D70ED"/>
    <w:rsid w:val="540C58F6"/>
    <w:rsid w:val="5463135D"/>
    <w:rsid w:val="58136BF6"/>
    <w:rsid w:val="587A6C75"/>
    <w:rsid w:val="617C0DC9"/>
    <w:rsid w:val="65D61724"/>
    <w:rsid w:val="6B3C7DBA"/>
    <w:rsid w:val="6C830396"/>
    <w:rsid w:val="6FDB7C26"/>
    <w:rsid w:val="71754026"/>
    <w:rsid w:val="73217FC1"/>
    <w:rsid w:val="75ED062E"/>
    <w:rsid w:val="77C94B69"/>
    <w:rsid w:val="7A3D525D"/>
    <w:rsid w:val="7D272678"/>
    <w:rsid w:val="7E292420"/>
    <w:rsid w:val="7E5C27F5"/>
    <w:rsid w:val="7F29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40"/>
    <w:qFormat/>
    <w:uiPriority w:val="9"/>
    <w:pPr>
      <w:keepNext/>
      <w:keepLines/>
      <w:spacing w:beforeLines="0" w:beforeAutospacing="0" w:afterLines="0" w:afterAutospacing="0" w:line="580" w:lineRule="exact"/>
      <w:ind w:firstLine="894" w:firstLineChars="200"/>
      <w:outlineLvl w:val="0"/>
    </w:pPr>
    <w:rPr>
      <w:rFonts w:ascii="黑体" w:hAnsi="黑体" w:eastAsia="方正黑体_GBK" w:cs="Times New Roman"/>
      <w:kern w:val="44"/>
      <w:sz w:val="28"/>
      <w:szCs w:val="32"/>
    </w:rPr>
  </w:style>
  <w:style w:type="paragraph" w:styleId="4">
    <w:name w:val="heading 2"/>
    <w:next w:val="1"/>
    <w:link w:val="141"/>
    <w:unhideWhenUsed/>
    <w:qFormat/>
    <w:uiPriority w:val="9"/>
    <w:pPr>
      <w:keepNext/>
      <w:keepLines/>
      <w:spacing w:beforeLines="0" w:beforeAutospacing="0" w:afterLines="0" w:afterAutospacing="0" w:line="580" w:lineRule="exact"/>
      <w:ind w:firstLine="894" w:firstLineChars="200"/>
      <w:outlineLvl w:val="1"/>
    </w:pPr>
    <w:rPr>
      <w:rFonts w:ascii="楷体_GB2312" w:hAnsi="楷体_GB2312" w:eastAsia="方正楷体_GBK" w:cs="Times New Roman"/>
      <w:sz w:val="32"/>
      <w:szCs w:val="32"/>
    </w:rPr>
  </w:style>
  <w:style w:type="paragraph" w:styleId="5">
    <w:name w:val="heading 3"/>
    <w:next w:val="1"/>
    <w:link w:val="142"/>
    <w:unhideWhenUsed/>
    <w:qFormat/>
    <w:uiPriority w:val="9"/>
    <w:pPr>
      <w:keepNext/>
      <w:keepLines/>
      <w:spacing w:beforeLines="0" w:beforeAutospacing="0" w:afterLines="0" w:afterAutospacing="0" w:line="580" w:lineRule="exact"/>
      <w:ind w:firstLine="894" w:firstLineChars="200"/>
      <w:outlineLvl w:val="2"/>
    </w:pPr>
    <w:rPr>
      <w:rFonts w:ascii="仿宋_GB2312" w:hAnsi="仿宋_GB2312" w:eastAsia="方正仿宋_GBK" w:cs="Times New Roman"/>
      <w:sz w:val="32"/>
      <w:szCs w:val="32"/>
    </w:rPr>
  </w:style>
  <w:style w:type="paragraph" w:styleId="6">
    <w:name w:val="heading 4"/>
    <w:next w:val="1"/>
    <w:link w:val="152"/>
    <w:semiHidden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仿宋_GB2312" w:hAnsi="仿宋_GB2312" w:eastAsia="方正仿宋_GBK" w:cs="Times New Roman"/>
      <w:sz w:val="32"/>
      <w:szCs w:val="32"/>
    </w:rPr>
  </w:style>
  <w:style w:type="paragraph" w:styleId="7">
    <w:name w:val="heading 5"/>
    <w:next w:val="1"/>
    <w:link w:val="153"/>
    <w:semiHidden/>
    <w:unhideWhenUsed/>
    <w:qFormat/>
    <w:uiPriority w:val="9"/>
    <w:pPr>
      <w:spacing w:line="580" w:lineRule="exact"/>
      <w:ind w:firstLine="894" w:firstLineChars="200"/>
      <w:outlineLvl w:val="4"/>
    </w:pPr>
    <w:rPr>
      <w:rFonts w:ascii="仿宋_GB2312" w:hAnsi="仿宋_GB2312" w:eastAsia="仿宋_GB2312" w:cs="Times New Roman"/>
      <w:sz w:val="32"/>
      <w:szCs w:val="32"/>
    </w:rPr>
  </w:style>
  <w:style w:type="paragraph" w:styleId="8">
    <w:name w:val="heading 6"/>
    <w:next w:val="1"/>
    <w:link w:val="154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仿宋_GB2312" w:hAnsi="仿宋_GB2312" w:eastAsia="仿宋_GB2312" w:cs="Times New Roman"/>
      <w:sz w:val="32"/>
      <w:szCs w:val="32"/>
    </w:rPr>
  </w:style>
  <w:style w:type="paragraph" w:styleId="9">
    <w:name w:val="heading 7"/>
    <w:next w:val="1"/>
    <w:link w:val="155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仿宋_GB2312" w:hAnsi="仿宋_GB2312" w:eastAsia="仿宋_GB2312" w:cs="Times New Roman"/>
      <w:sz w:val="32"/>
      <w:szCs w:val="32"/>
    </w:rPr>
  </w:style>
  <w:style w:type="paragraph" w:styleId="10">
    <w:name w:val="heading 8"/>
    <w:next w:val="1"/>
    <w:link w:val="156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仿宋_GB2312" w:hAnsi="仿宋_GB2312" w:eastAsia="仿宋_GB2312" w:cs="Times New Roman"/>
      <w:sz w:val="32"/>
      <w:szCs w:val="32"/>
    </w:rPr>
  </w:style>
  <w:style w:type="paragraph" w:styleId="11">
    <w:name w:val="heading 9"/>
    <w:next w:val="1"/>
    <w:link w:val="157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仿宋_GB2312" w:hAnsi="仿宋_GB2312" w:eastAsia="仿宋_GB2312" w:cs="Times New Roman"/>
      <w:sz w:val="32"/>
      <w:szCs w:val="32"/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6"/>
    <w:unhideWhenUsed/>
    <w:qFormat/>
    <w:uiPriority w:val="99"/>
    <w:pPr>
      <w:spacing w:line="580" w:lineRule="exact"/>
      <w:ind w:firstLine="628" w:firstLineChars="200"/>
    </w:pPr>
    <w:rPr>
      <w:rFonts w:ascii="仿宋_GB2312" w:hAnsi="仿宋_GB2312" w:eastAsia="方正仿宋_GBK" w:cs="Times New Roman"/>
      <w:spacing w:val="-6"/>
      <w:sz w:val="3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4"/>
    <w:qFormat/>
    <w:uiPriority w:val="11"/>
    <w:pPr>
      <w:spacing w:beforeLines="0" w:beforeAutospacing="0" w:afterLines="0" w:afterAutospacing="0" w:line="560" w:lineRule="exact"/>
      <w:jc w:val="center"/>
      <w:outlineLvl w:val="1"/>
    </w:pPr>
    <w:rPr>
      <w:rFonts w:ascii="楷体_GB2312" w:hAnsi="楷体_GB2312" w:eastAsia="楷体_GB2312" w:cs="Times New Roman"/>
      <w:kern w:val="28"/>
      <w:sz w:val="32"/>
      <w:szCs w:val="3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next w:val="1"/>
    <w:link w:val="143"/>
    <w:qFormat/>
    <w:uiPriority w:val="10"/>
    <w:pPr>
      <w:spacing w:line="720" w:lineRule="exact"/>
      <w:jc w:val="center"/>
      <w:outlineLvl w:val="0"/>
    </w:pPr>
    <w:rPr>
      <w:rFonts w:ascii="方正小标宋简体" w:hAnsi="方正小标宋简体" w:eastAsia="方正小标宋简体" w:cs="Times New Roman"/>
      <w:sz w:val="44"/>
      <w:szCs w:val="44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22f2c92b-d8d3-4d6d-acfd-50d4133855ff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49DC3582</paraID>
      <start>79</start>
      <end>80</end>
      <status>modified</status>
      <modifiedWord>—</modifiedWord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f35cde-3581-4923-94c7-5876c5fe6f10}">
  <ds:schemaRefs/>
</ds:datastoreItem>
</file>

<file path=customXml/itemProps3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1273</Words>
  <Characters>1299</Characters>
  <Lines>0</Lines>
  <Paragraphs>0</Paragraphs>
  <TotalTime>116</TotalTime>
  <ScaleCrop>false</ScaleCrop>
  <LinksUpToDate>false</LinksUpToDate>
  <CharactersWithSpaces>1299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gomutex</dc:creator>
  <dc:description>generated by godocx</dc:description>
  <cp:lastModifiedBy>young</cp:lastModifiedBy>
  <dcterms:modified xsi:type="dcterms:W3CDTF">2026-01-31T13:52:27Z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eyJoZGlkIjoiNTFmNzM4YTFmMzY0N2Q3MWQwYzZmMDUwOThmNTFhZDkiLCJ1c2VySWQiOiIzMDQ0Njk5OTEifQ==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F38BACD224BB4307AEB4E1C847745D92_13</vt:lpwstr>
  </property>
</Properties>
</file>