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56"/>
          <w:szCs w:val="56"/>
        </w:rPr>
        <w:t xml:space="preserve">DishDash</w:t>
      </w:r>
    </w:p>
    <w:p>
      <w:pPr>
        <w:pBdr>
          <w:bottom w:val="single" w:color="2E75B6" w:sz="12" w:space="6"/>
        </w:pBdr>
        <w:spacing w:after="80" w:before="0"/>
        <w:jc w:val="center"/>
      </w:pPr>
      <w:r>
        <w:rPr>
          <w:rFonts w:ascii="Arial" w:cs="Arial" w:eastAsia="Arial" w:hAnsi="Arial"/>
          <w:i/>
          <w:iCs/>
          <w:color w:val="2E75B6"/>
          <w:sz w:val="28"/>
          <w:szCs w:val="28"/>
        </w:rPr>
        <w:t xml:space="preserve">Hyperlocal Restaurant Discovery &amp; Food Intelligence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Course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TECH-UB.0024 — Projects in Programming &amp; AI (NYU Stern, Spring 2026)</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Group</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S2 Altman's Angels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Milestone</w:t>
            </w:r>
          </w:p>
        </w:tc>
        <w:tc>
          <w:tcPr>
            <w:tcW w:type="dxa" w:w="7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3–5 — Data Collection, Analytics &amp; Frontend</w:t>
            </w:r>
          </w:p>
        </w:tc>
      </w:tr>
    </w:tbl>
    <w:p>
      <w:pPr>
        <w:spacing w:after="0" w:before="18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 Project Overview</w:t>
      </w:r>
    </w:p>
    <w:p>
      <w:pPr>
        <w:spacing w:after="60" w:before="60"/>
        <w:jc w:val="left"/>
      </w:pPr>
      <w:r>
        <w:rPr>
          <w:rFonts w:ascii="Arial" w:cs="Arial" w:eastAsia="Arial" w:hAnsi="Arial"/>
          <w:b w:val="false"/>
          <w:bCs w:val="false"/>
          <w:color w:val="000000"/>
          <w:sz w:val="22"/>
          <w:szCs w:val="22"/>
        </w:rPr>
        <w:t xml:space="preserve">DishDash is a data-driven restaurant discovery platform built for the NYU and Greenwich Village community. The core goal is to give students and faculty a smarter way to find nearby food — one that surfaces not just ratings and prices, but also nutritional profiles and sentiment signals derived from real reviews. Where existing apps like Yelp or Google Maps offer a general-purpose discovery experience, DishDash is designed to answer hyperlocal, health-aware questions: "What are the highest-rated affordable restaurants near campus with a good Nutri-Score?" or "Which cuisines near NYU tend to have the most positive review sentiment?"</w:t>
      </w:r>
    </w:p>
    <w:p>
      <w:pPr>
        <w:spacing w:after="0" w:before="60"/>
      </w:pPr>
      <w:r>
        <w:t xml:space="preserve"/>
      </w:r>
    </w:p>
    <w:p>
      <w:pPr>
        <w:spacing w:after="60" w:before="60"/>
        <w:jc w:val="left"/>
      </w:pPr>
      <w:r>
        <w:rPr>
          <w:rFonts w:ascii="Arial" w:cs="Arial" w:eastAsia="Arial" w:hAnsi="Arial"/>
          <w:b w:val="false"/>
          <w:bCs w:val="false"/>
          <w:color w:val="000000"/>
          <w:sz w:val="22"/>
          <w:szCs w:val="22"/>
        </w:rPr>
        <w:t xml:space="preserve">The project has two primary technical components. The backend is a multi-source data pipeline that fetches, merges, enriches, and stores restaurant data in a structured SQLite database. The analytics component interacts with this database to produce descriptive statistics, geographic visualizations, nutritional comparisons, and (planned) a machine learning model that predicts ratings from venue features. A lightweight web frontend is planned for Milestone 5 to make these insights accessible through a browser interface with search and filter functionality.</w:t>
      </w:r>
    </w:p>
    <w:p>
      <w:pPr>
        <w:spacing w:after="0" w:before="18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2. Data Collected</w:t>
      </w:r>
    </w:p>
    <w:p>
      <w:pPr>
        <w:spacing w:after="60" w:before="60"/>
        <w:jc w:val="left"/>
      </w:pPr>
      <w:r>
        <w:rPr>
          <w:rFonts w:ascii="Arial" w:cs="Arial" w:eastAsia="Arial" w:hAnsi="Arial"/>
          <w:b w:val="false"/>
          <w:bCs w:val="false"/>
          <w:color w:val="000000"/>
          <w:sz w:val="22"/>
          <w:szCs w:val="22"/>
        </w:rPr>
        <w:t xml:space="preserve">The pipeline integrates three distinct external data sources, each providing a complementary view of the restaurant landscape near NYU. All data is collected via public APIs and stored in a local SQLite database (dishdash.db) with three tables: venues, nutrition_profiles, and data_sources.</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Source 1 — OpenStreetMap (Overpass API)</w:t>
      </w:r>
    </w:p>
    <w:p>
      <w:pPr>
        <w:spacing w:after="60" w:before="60"/>
        <w:jc w:val="left"/>
      </w:pPr>
      <w:r>
        <w:rPr>
          <w:rFonts w:ascii="Arial" w:cs="Arial" w:eastAsia="Arial" w:hAnsi="Arial"/>
          <w:b w:val="false"/>
          <w:bCs w:val="false"/>
          <w:color w:val="000000"/>
          <w:sz w:val="22"/>
          <w:szCs w:val="22"/>
        </w:rPr>
        <w:t xml:space="preserve">OpenStreetMap serves as the geographic backbone of DishDash. The Overpass API is queried with a bounding box covering roughly 8 blocks around Washington Square Park, returning all nodes tagged as restaurant, cafe, or fast_food. This source requires no API key and provides the most complete coverage of small, independent restaurants that may not appear prominently in commercial platforms.</w:t>
      </w:r>
    </w:p>
    <w:p>
      <w:pPr>
        <w:spacing w:after="0" w:before="40"/>
      </w:pPr>
      <w:r>
        <w:t xml:space="preserve"/>
      </w:r>
    </w:p>
    <w:p>
      <w:pPr>
        <w:spacing w:after="60" w:before="60"/>
        <w:jc w:val="left"/>
      </w:pPr>
      <w:r>
        <w:rPr>
          <w:rFonts w:ascii="Arial" w:cs="Arial" w:eastAsia="Arial" w:hAnsi="Arial"/>
          <w:b/>
          <w:bCs/>
          <w:color w:val="000000"/>
          <w:sz w:val="22"/>
          <w:szCs w:val="22"/>
        </w:rPr>
        <w:t xml:space="preserve">Fields collected:</w:t>
      </w:r>
    </w:p>
    <w:p>
      <w:pPr>
        <w:pStyle w:val="ListParagraph"/>
        <w:numPr>
          <w:ilvl w:val="0"/>
          <w:numId w:val="2"/>
        </w:numPr>
        <w:spacing w:after="40" w:before="40"/>
      </w:pPr>
      <w:r>
        <w:rPr>
          <w:rFonts w:ascii="Arial" w:cs="Arial" w:eastAsia="Arial" w:hAnsi="Arial"/>
          <w:sz w:val="22"/>
          <w:szCs w:val="22"/>
        </w:rPr>
        <w:t xml:space="preserve">osm_id, name, latitude, longitude</w:t>
      </w:r>
    </w:p>
    <w:p>
      <w:pPr>
        <w:pStyle w:val="ListParagraph"/>
        <w:numPr>
          <w:ilvl w:val="0"/>
          <w:numId w:val="2"/>
        </w:numPr>
        <w:spacing w:after="40" w:before="40"/>
      </w:pPr>
      <w:r>
        <w:rPr>
          <w:rFonts w:ascii="Arial" w:cs="Arial" w:eastAsia="Arial" w:hAnsi="Arial"/>
          <w:sz w:val="22"/>
          <w:szCs w:val="22"/>
        </w:rPr>
        <w:t xml:space="preserve">amenity_type (restaurant / cafe / fast_food)</w:t>
      </w:r>
    </w:p>
    <w:p>
      <w:pPr>
        <w:pStyle w:val="ListParagraph"/>
        <w:numPr>
          <w:ilvl w:val="0"/>
          <w:numId w:val="2"/>
        </w:numPr>
        <w:spacing w:after="40" w:before="40"/>
      </w:pPr>
      <w:r>
        <w:rPr>
          <w:rFonts w:ascii="Arial" w:cs="Arial" w:eastAsia="Arial" w:hAnsi="Arial"/>
          <w:sz w:val="22"/>
          <w:szCs w:val="22"/>
        </w:rPr>
        <w:t xml:space="preserve">cuisine tag (raw, e.g., "pizza", "italian;american")</w:t>
      </w:r>
    </w:p>
    <w:p>
      <w:pPr>
        <w:pStyle w:val="ListParagraph"/>
        <w:numPr>
          <w:ilvl w:val="0"/>
          <w:numId w:val="2"/>
        </w:numPr>
        <w:spacing w:after="40" w:before="40"/>
      </w:pPr>
      <w:r>
        <w:rPr>
          <w:rFonts w:ascii="Arial" w:cs="Arial" w:eastAsia="Arial" w:hAnsi="Arial"/>
          <w:sz w:val="22"/>
          <w:szCs w:val="22"/>
        </w:rPr>
        <w:t xml:space="preserve">address, phone, website, opening_hours, wheelchair accessibility</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Source 2 — Google Places API (New)</w:t>
      </w:r>
    </w:p>
    <w:p>
      <w:pPr>
        <w:spacing w:after="60" w:before="60"/>
        <w:jc w:val="left"/>
      </w:pPr>
      <w:r>
        <w:rPr>
          <w:rFonts w:ascii="Arial" w:cs="Arial" w:eastAsia="Arial" w:hAnsi="Arial"/>
          <w:b w:val="false"/>
          <w:bCs w:val="false"/>
          <w:color w:val="000000"/>
          <w:sz w:val="22"/>
          <w:szCs w:val="22"/>
        </w:rPr>
        <w:t xml:space="preserve">The Google Places Nearby Search endpoint enriches OSM venues with crowd-sourced quality signals. The API is called with a POST request and a FieldMask header that controls exactly which fields are returned and billed, keeping usage within the free tier (10,000 Essentials requests/month, 5,000 Pro requests/month). A single project run uses approximately 1–5 requests total. Each venue in the results is fuzzy-geo-matched to an OSM venue using a combination of Haversine distance (≤75m) and name similarity (token sort ratio ≥55).</w:t>
      </w:r>
    </w:p>
    <w:p>
      <w:pPr>
        <w:spacing w:after="0" w:before="40"/>
      </w:pPr>
      <w:r>
        <w:t xml:space="preserve"/>
      </w:r>
    </w:p>
    <w:p>
      <w:pPr>
        <w:spacing w:after="60" w:before="60"/>
        <w:jc w:val="left"/>
      </w:pPr>
      <w:r>
        <w:rPr>
          <w:rFonts w:ascii="Arial" w:cs="Arial" w:eastAsia="Arial" w:hAnsi="Arial"/>
          <w:b/>
          <w:bCs/>
          <w:color w:val="000000"/>
          <w:sz w:val="22"/>
          <w:szCs w:val="22"/>
        </w:rPr>
        <w:t xml:space="preserve">Fields collected:</w:t>
      </w:r>
    </w:p>
    <w:p>
      <w:pPr>
        <w:pStyle w:val="ListParagraph"/>
        <w:numPr>
          <w:ilvl w:val="0"/>
          <w:numId w:val="2"/>
        </w:numPr>
        <w:spacing w:after="40" w:before="40"/>
      </w:pPr>
      <w:r>
        <w:rPr>
          <w:rFonts w:ascii="Arial" w:cs="Arial" w:eastAsia="Arial" w:hAnsi="Arial"/>
          <w:sz w:val="22"/>
          <w:szCs w:val="22"/>
        </w:rPr>
        <w:t xml:space="preserve">Google place ID, formatted address, business types</w:t>
      </w:r>
    </w:p>
    <w:p>
      <w:pPr>
        <w:pStyle w:val="ListParagraph"/>
        <w:numPr>
          <w:ilvl w:val="0"/>
          <w:numId w:val="2"/>
        </w:numPr>
        <w:spacing w:after="40" w:before="40"/>
      </w:pPr>
      <w:r>
        <w:rPr>
          <w:rFonts w:ascii="Arial" w:cs="Arial" w:eastAsia="Arial" w:hAnsi="Arial"/>
          <w:sz w:val="22"/>
          <w:szCs w:val="22"/>
        </w:rPr>
        <w:t xml:space="preserve">Google rating (1.0–5.0) and total rating count</w:t>
      </w:r>
    </w:p>
    <w:p>
      <w:pPr>
        <w:pStyle w:val="ListParagraph"/>
        <w:numPr>
          <w:ilvl w:val="0"/>
          <w:numId w:val="2"/>
        </w:numPr>
        <w:spacing w:after="40" w:before="40"/>
      </w:pPr>
      <w:r>
        <w:rPr>
          <w:rFonts w:ascii="Arial" w:cs="Arial" w:eastAsia="Arial" w:hAnsi="Arial"/>
          <w:sz w:val="22"/>
          <w:szCs w:val="22"/>
        </w:rPr>
        <w:t xml:space="preserve">Price level (PRICE_LEVEL_INEXPENSIVE through PRICE_LEVEL_VERY_EXPENSIVE)</w:t>
      </w:r>
    </w:p>
    <w:p>
      <w:pPr>
        <w:pStyle w:val="ListParagraph"/>
        <w:numPr>
          <w:ilvl w:val="0"/>
          <w:numId w:val="2"/>
        </w:numPr>
        <w:spacing w:after="40" w:before="40"/>
      </w:pPr>
      <w:r>
        <w:rPr>
          <w:rFonts w:ascii="Arial" w:cs="Arial" w:eastAsia="Arial" w:hAnsi="Arial"/>
          <w:sz w:val="22"/>
          <w:szCs w:val="22"/>
        </w:rPr>
        <w:t xml:space="preserve">User review text (top 3 reviews concatenated)</w:t>
      </w:r>
    </w:p>
    <w:p>
      <w:pPr>
        <w:pStyle w:val="ListParagraph"/>
        <w:numPr>
          <w:ilvl w:val="0"/>
          <w:numId w:val="2"/>
        </w:numPr>
        <w:spacing w:after="40" w:before="40"/>
      </w:pPr>
      <w:r>
        <w:rPr>
          <w:rFonts w:ascii="Arial" w:cs="Arial" w:eastAsia="Arial" w:hAnsi="Arial"/>
          <w:sz w:val="22"/>
          <w:szCs w:val="22"/>
        </w:rPr>
        <w:t xml:space="preserve">Business status (OPERATIONAL / CLOSED_TEMPORARILY / PERMANENTLY_CLOSED)</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Source 3 — Open Food Facts</w:t>
      </w:r>
    </w:p>
    <w:p>
      <w:pPr>
        <w:spacing w:after="60" w:before="60"/>
        <w:jc w:val="left"/>
      </w:pPr>
      <w:r>
        <w:rPr>
          <w:rFonts w:ascii="Arial" w:cs="Arial" w:eastAsia="Arial" w:hAnsi="Arial"/>
          <w:b w:val="false"/>
          <w:bCs w:val="false"/>
          <w:color w:val="000000"/>
          <w:sz w:val="22"/>
          <w:szCs w:val="22"/>
        </w:rPr>
        <w:t xml:space="preserve">Open Food Facts is an open nutritional database covering millions of food products. Because it tracks packaged products rather than restaurant venues, DishDash uses a cuisine-to-search-term mapping (e.g., "pizza" cuisine → search "pizza"; "japanese" cuisine → search "sushi", "ramen", "miso") to retrieve representative products for each cuisine type. Nutritional values are averaged across up to 15 products per cuisine key and joined to venue records on the normalized cuisine column.</w:t>
      </w:r>
    </w:p>
    <w:p>
      <w:pPr>
        <w:spacing w:after="0" w:before="40"/>
      </w:pPr>
      <w:r>
        <w:t xml:space="preserve"/>
      </w:r>
    </w:p>
    <w:p>
      <w:pPr>
        <w:spacing w:after="60" w:before="60"/>
        <w:jc w:val="left"/>
      </w:pPr>
      <w:r>
        <w:rPr>
          <w:rFonts w:ascii="Arial" w:cs="Arial" w:eastAsia="Arial" w:hAnsi="Arial"/>
          <w:b/>
          <w:bCs/>
          <w:color w:val="000000"/>
          <w:sz w:val="22"/>
          <w:szCs w:val="22"/>
        </w:rPr>
        <w:t xml:space="preserve">Fields collected:</w:t>
      </w:r>
    </w:p>
    <w:p>
      <w:pPr>
        <w:pStyle w:val="ListParagraph"/>
        <w:numPr>
          <w:ilvl w:val="0"/>
          <w:numId w:val="2"/>
        </w:numPr>
        <w:spacing w:after="40" w:before="40"/>
      </w:pPr>
      <w:r>
        <w:rPr>
          <w:rFonts w:ascii="Arial" w:cs="Arial" w:eastAsia="Arial" w:hAnsi="Arial"/>
          <w:sz w:val="22"/>
          <w:szCs w:val="22"/>
        </w:rPr>
        <w:t xml:space="preserve">Average calories, fat, protein, carbohydrates, sugar, sodium per 100g</w:t>
      </w:r>
    </w:p>
    <w:p>
      <w:pPr>
        <w:pStyle w:val="ListParagraph"/>
        <w:numPr>
          <w:ilvl w:val="0"/>
          <w:numId w:val="2"/>
        </w:numPr>
        <w:spacing w:after="40" w:before="40"/>
      </w:pPr>
      <w:r>
        <w:rPr>
          <w:rFonts w:ascii="Arial" w:cs="Arial" w:eastAsia="Arial" w:hAnsi="Arial"/>
          <w:sz w:val="22"/>
          <w:szCs w:val="22"/>
        </w:rPr>
        <w:t xml:space="preserve">Most common Nutri-Score grade (A–E) for the cuisine category</w:t>
      </w:r>
    </w:p>
    <w:p>
      <w:pPr>
        <w:pStyle w:val="ListParagraph"/>
        <w:numPr>
          <w:ilvl w:val="0"/>
          <w:numId w:val="2"/>
        </w:numPr>
        <w:spacing w:after="40" w:before="40"/>
      </w:pPr>
      <w:r>
        <w:rPr>
          <w:rFonts w:ascii="Arial" w:cs="Arial" w:eastAsia="Arial" w:hAnsi="Arial"/>
          <w:sz w:val="22"/>
          <w:szCs w:val="22"/>
        </w:rPr>
        <w:t xml:space="preserve">Sample size (number of products averaged)</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Bonus — HuggingFace Sentiment Analysis</w:t>
      </w:r>
    </w:p>
    <w:p>
      <w:pPr>
        <w:spacing w:after="60" w:before="60"/>
        <w:jc w:val="left"/>
      </w:pPr>
      <w:r>
        <w:rPr>
          <w:rFonts w:ascii="Arial" w:cs="Arial" w:eastAsia="Arial" w:hAnsi="Arial"/>
          <w:b w:val="false"/>
          <w:bCs w:val="false"/>
          <w:color w:val="000000"/>
          <w:sz w:val="22"/>
          <w:szCs w:val="22"/>
        </w:rPr>
        <w:t xml:space="preserve">For venues that have Google review text, DishDash runs NLP sentiment classification using the distilbert-base-uncased-finetuned-sst-2-english model via the HuggingFace Inference API. This adds a POSITIVE/NEGATIVE label and a confidence score to each venue record, providing a qualitative signal that complements the quantitative star rating.</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Planned Data Extensions</w:t>
      </w:r>
    </w:p>
    <w:p>
      <w:pPr>
        <w:pStyle w:val="ListParagraph"/>
        <w:numPr>
          <w:ilvl w:val="0"/>
          <w:numId w:val="2"/>
        </w:numPr>
        <w:spacing w:after="40" w:before="40"/>
      </w:pPr>
      <w:r>
        <w:rPr>
          <w:rFonts w:ascii="Arial" w:cs="Arial" w:eastAsia="Arial" w:hAnsi="Arial"/>
          <w:sz w:val="22"/>
          <w:szCs w:val="22"/>
        </w:rPr>
        <w:t xml:space="preserve">Yelp Fusion API: additional reviews, categories, and hours of operation</w:t>
      </w:r>
    </w:p>
    <w:p>
      <w:pPr>
        <w:pStyle w:val="ListParagraph"/>
        <w:numPr>
          <w:ilvl w:val="0"/>
          <w:numId w:val="2"/>
        </w:numPr>
        <w:spacing w:after="40" w:before="40"/>
      </w:pPr>
      <w:r>
        <w:rPr>
          <w:rFonts w:ascii="Arial" w:cs="Arial" w:eastAsia="Arial" w:hAnsi="Arial"/>
          <w:sz w:val="22"/>
          <w:szCs w:val="22"/>
        </w:rPr>
        <w:t xml:space="preserve">NYC Open Data: health inspection scores to add a food safety dimension</w:t>
      </w:r>
    </w:p>
    <w:p>
      <w:pPr>
        <w:pStyle w:val="ListParagraph"/>
        <w:numPr>
          <w:ilvl w:val="0"/>
          <w:numId w:val="2"/>
        </w:numPr>
        <w:spacing w:after="40" w:before="40"/>
      </w:pPr>
      <w:r>
        <w:rPr>
          <w:rFonts w:ascii="Arial" w:cs="Arial" w:eastAsia="Arial" w:hAnsi="Arial"/>
          <w:sz w:val="22"/>
          <w:szCs w:val="22"/>
        </w:rPr>
        <w:t xml:space="preserve">Expanded geographic coverage: East Village, SoHo, and Midtown neighborhoods</w:t>
      </w:r>
    </w:p>
    <w:p>
      <w:pPr>
        <w:pStyle w:val="ListParagraph"/>
        <w:numPr>
          <w:ilvl w:val="0"/>
          <w:numId w:val="2"/>
        </w:numPr>
        <w:spacing w:after="40" w:before="40"/>
      </w:pPr>
      <w:r>
        <w:rPr>
          <w:rFonts w:ascii="Arial" w:cs="Arial" w:eastAsia="Arial" w:hAnsi="Arial"/>
          <w:sz w:val="22"/>
          <w:szCs w:val="22"/>
        </w:rPr>
        <w:t xml:space="preserve">Time-series collection: weekly snapshots to track rating trends over the semester</w:t>
      </w:r>
    </w:p>
    <w:p>
      <w:pPr>
        <w:spacing w:after="0" w:before="18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3. Technical Approach</w:t>
      </w:r>
    </w:p>
    <w:p>
      <w:pPr>
        <w:pStyle w:val="Heading2"/>
        <w:spacing w:after="100" w:before="240"/>
      </w:pPr>
      <w:r>
        <w:rPr>
          <w:rFonts w:ascii="Arial" w:cs="Arial" w:eastAsia="Arial" w:hAnsi="Arial"/>
          <w:b/>
          <w:bCs/>
          <w:color w:val="2E75B6"/>
          <w:sz w:val="26"/>
          <w:szCs w:val="26"/>
        </w:rPr>
        <w:t xml:space="preserve">Backend &amp; Data Pipeline</w:t>
      </w:r>
    </w:p>
    <w:p>
      <w:pPr>
        <w:spacing w:after="60" w:before="60"/>
        <w:jc w:val="left"/>
      </w:pPr>
      <w:r>
        <w:rPr>
          <w:rFonts w:ascii="Arial" w:cs="Arial" w:eastAsia="Arial" w:hAnsi="Arial"/>
          <w:b w:val="false"/>
          <w:bCs w:val="false"/>
          <w:color w:val="000000"/>
          <w:sz w:val="22"/>
          <w:szCs w:val="22"/>
        </w:rPr>
        <w:t xml:space="preserve">The backend pipeline is implemented in a single Google Colab notebook. Data collection is modular: each source has a dedicated Python function with built-in retry logic and error handling. The three DataFrames are merged in two stages — first an OSM + Google fuzzy geo-match using the thefuzz library's token_sort_ratio combined with Haversine distance, then a cuisine-key LEFT JOIN with the Open Food Facts nutrition profiles. The merged DataFrame is stored in SQLite using pandas' to_sql() method, which ensures idempotent writes (full table replacement on each run).</w:t>
      </w:r>
    </w:p>
    <w:p>
      <w:pPr>
        <w:spacing w:after="0" w:before="40"/>
      </w:pPr>
      <w:r>
        <w:t xml:space="preserve"/>
      </w:r>
    </w:p>
    <w:p>
      <w:pPr>
        <w:spacing w:after="60" w:before="60"/>
        <w:jc w:val="left"/>
      </w:pPr>
      <w:r>
        <w:rPr>
          <w:rFonts w:ascii="Arial" w:cs="Arial" w:eastAsia="Arial" w:hAnsi="Arial"/>
          <w:b w:val="false"/>
          <w:bCs w:val="false"/>
          <w:color w:val="000000"/>
          <w:sz w:val="22"/>
          <w:szCs w:val="22"/>
        </w:rPr>
        <w:t xml:space="preserve">SQLite was chosen as the storage layer because the dataset is structured, relational, and small (hundreds of rows). It requires zero infrastructure setup and integrates naturally with both Colab and the planned Flask backend. The three-table schema (venues, nutrition_profiles, data_sources) keeps the data normalized enough for clean analytics queries while remaining simple to query without complex JOIN chains.</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Analytics Component</w:t>
      </w:r>
    </w:p>
    <w:p>
      <w:pPr>
        <w:spacing w:after="60" w:before="60"/>
        <w:jc w:val="left"/>
      </w:pPr>
      <w:r>
        <w:rPr>
          <w:rFonts w:ascii="Arial" w:cs="Arial" w:eastAsia="Arial" w:hAnsi="Arial"/>
          <w:b w:val="false"/>
          <w:bCs w:val="false"/>
          <w:color w:val="000000"/>
          <w:sz w:val="22"/>
          <w:szCs w:val="22"/>
        </w:rPr>
        <w:t xml:space="preserve">The current analytics layer consists of SQL queries run directly against the SQLite database within the notebook — for example, aggregating average calories by cuisine, ranking venues by rating, and cross-tabulating price level with sentiment label. Planned Milestone 4 analytics include: geographic visualization of all venues on an interactive Folium map; nutritional comparison charts (calories vs. Nutri-Score by cuisine); and a regression model predicting Google ratings from price level, cuisine type, and nutritional profile using scikit-learn.</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Planned Extensions</w:t>
      </w:r>
    </w:p>
    <w:p>
      <w:pPr>
        <w:pStyle w:val="ListParagraph"/>
        <w:numPr>
          <w:ilvl w:val="0"/>
          <w:numId w:val="2"/>
        </w:numPr>
        <w:spacing w:after="40" w:before="40"/>
      </w:pPr>
      <w:r>
        <w:rPr>
          <w:rFonts w:ascii="Arial" w:cs="Arial" w:eastAsia="Arial" w:hAnsi="Arial"/>
          <w:sz w:val="22"/>
          <w:szCs w:val="22"/>
        </w:rPr>
        <w:t xml:space="preserve">Rating regression model: predict Google rating from price, cuisine, and nutrition features (scikit-learn, Ridge/RandomForest)</w:t>
      </w:r>
    </w:p>
    <w:p>
      <w:pPr>
        <w:pStyle w:val="ListParagraph"/>
        <w:numPr>
          <w:ilvl w:val="0"/>
          <w:numId w:val="2"/>
        </w:numPr>
        <w:spacing w:after="40" w:before="40"/>
      </w:pPr>
      <w:r>
        <w:rPr>
          <w:rFonts w:ascii="Arial" w:cs="Arial" w:eastAsia="Arial" w:hAnsi="Arial"/>
          <w:sz w:val="22"/>
          <w:szCs w:val="22"/>
        </w:rPr>
        <w:t xml:space="preserve">Venue clustering: K-Means or DBSCAN to discover natural groupings (e.g., "affordable healthy cafes")</w:t>
      </w:r>
    </w:p>
    <w:p>
      <w:pPr>
        <w:pStyle w:val="ListParagraph"/>
        <w:numPr>
          <w:ilvl w:val="0"/>
          <w:numId w:val="2"/>
        </w:numPr>
        <w:spacing w:after="40" w:before="40"/>
      </w:pPr>
      <w:r>
        <w:rPr>
          <w:rFonts w:ascii="Arial" w:cs="Arial" w:eastAsia="Arial" w:hAnsi="Arial"/>
          <w:sz w:val="22"/>
          <w:szCs w:val="22"/>
        </w:rPr>
        <w:t xml:space="preserve">Flask REST API: expose the SQLite database via HTTP endpoints for the frontend</w:t>
      </w:r>
    </w:p>
    <w:p>
      <w:pPr>
        <w:pStyle w:val="ListParagraph"/>
        <w:numPr>
          <w:ilvl w:val="0"/>
          <w:numId w:val="2"/>
        </w:numPr>
        <w:spacing w:after="40" w:before="40"/>
      </w:pPr>
      <w:r>
        <w:rPr>
          <w:rFonts w:ascii="Arial" w:cs="Arial" w:eastAsia="Arial" w:hAnsi="Arial"/>
          <w:sz w:val="22"/>
          <w:szCs w:val="22"/>
        </w:rPr>
        <w:t xml:space="preserve">Streamlit or Flask frontend: search bar, filter sidebar (cuisine, price, Nutri-Score), interactive map, restaurant detail pages</w:t>
      </w:r>
    </w:p>
    <w:p>
      <w:pPr>
        <w:pStyle w:val="ListParagraph"/>
        <w:numPr>
          <w:ilvl w:val="0"/>
          <w:numId w:val="2"/>
        </w:numPr>
        <w:spacing w:after="40" w:before="40"/>
      </w:pPr>
      <w:r>
        <w:rPr>
          <w:rFonts w:ascii="Arial" w:cs="Arial" w:eastAsia="Arial" w:hAnsi="Arial"/>
          <w:sz w:val="22"/>
          <w:szCs w:val="22"/>
        </w:rPr>
        <w:t xml:space="preserve">Scheduled data refresh: GitHub Actions cron job to update the database weekly</w:t>
      </w:r>
    </w:p>
    <w:p>
      <w:pPr>
        <w:spacing w:after="0" w:before="18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4. Group Members &amp; Contributions</w:t>
      </w:r>
    </w:p>
    <w:p>
      <w:pPr>
        <w:spacing w:after="60" w:before="60"/>
        <w:jc w:val="left"/>
      </w:pPr>
      <w:r>
        <w:rPr>
          <w:rFonts w:ascii="Arial" w:cs="Arial" w:eastAsia="Arial" w:hAnsi="Arial"/>
          <w:b w:val="false"/>
          <w:bCs w:val="false"/>
          <w:color w:val="000000"/>
          <w:sz w:val="22"/>
          <w:szCs w:val="22"/>
        </w:rPr>
        <w:t xml:space="preserve">The table below summarizes each group member's current contributions and planned future work for Milestones 4–5.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 Member</w:t>
            </w:r>
          </w:p>
        </w:tc>
        <w:tc>
          <w:tcPr>
            <w:tcW w:type="dxa" w:w="3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Contributions</w:t>
            </w:r>
          </w:p>
        </w:tc>
        <w:tc>
          <w:tcPr>
            <w:tcW w:type="dxa" w:w="3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Future Contributions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Member 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lead; designed the overall data architecture; implemented the Overpass API fetcher and OSM data cleaning pipeline; set up the SQLite schema and storage layer.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the Flask API backend; design the REST endpoints for the Milestone 5 frontend; expand OSM data collection to additional NYC neighborhoods.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Member 2</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Integrated the Google Places API (New); wrote the FieldMask request logic; implemented the fuzzy geo-merge algorithm (haversine distance + thefuzz name matching).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Extend the merge pipeline with additional data sources (Yelp Fusion API); implement the rating prediction regression model using scikit-learn.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Member 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 the Open Food Facts ingestion pipeline; designed the cuisine-to-search-term mapping; implemented nutrition aggregation logic and the cuisine normalization function.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 the data analytics notebook (descriptive stats, clustering analysis); produce visualizations (nutrition comparisons by cuisine, geographic maps using Folium).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Member 4</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Implemented the HuggingFace sentiment analysis integration; wrote error handling and retry logic across all API calls; authored project documentation and markdown files.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Build the Streamlit or Flask frontend (search bar, filter sidebar, restaurant detail pages); implement the user-facing map interface with Folium or Mapbox.</w:t>
            </w:r>
          </w:p>
        </w:tc>
      </w:tr>
    </w:tbl>
    <w:p>
      <w:pPr>
        <w:spacing w:after="0" w:before="18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5. Deliverables &amp; Links</w:t>
      </w:r>
    </w:p>
    <w:p>
      <w:pPr>
        <w:spacing w:after="80" w:before="60"/>
        <w:jc w:val="left"/>
      </w:pPr>
      <w:r>
        <w:rPr>
          <w:rFonts w:ascii="Arial" w:cs="Arial" w:eastAsia="Arial" w:hAnsi="Arial"/>
          <w:b w:val="false"/>
          <w:bCs w:val="false"/>
          <w:color w:val="000000"/>
          <w:sz w:val="22"/>
          <w:szCs w:val="22"/>
        </w:rPr>
        <w:t xml:space="preserve">The following artifacts have been produced for this milestone:</w:t>
      </w:r>
    </w:p>
    <w:p>
      <w:pPr>
        <w:spacing w:after="20" w:before="60"/>
        <w:jc w:val="left"/>
      </w:pPr>
      <w:r>
        <w:rPr>
          <w:rFonts w:ascii="Arial" w:cs="Arial" w:eastAsia="Arial" w:hAnsi="Arial"/>
          <w:b/>
          <w:bCs/>
          <w:color w:val="000000"/>
          <w:sz w:val="22"/>
          <w:szCs w:val="22"/>
        </w:rPr>
        <w:t xml:space="preserve">Notebook</w:t>
      </w:r>
    </w:p>
    <w:p>
      <w:pPr>
        <w:pStyle w:val="ListParagraph"/>
        <w:numPr>
          <w:ilvl w:val="0"/>
          <w:numId w:val="2"/>
        </w:numPr>
        <w:spacing w:after="40" w:before="40"/>
      </w:pPr>
      <w:r>
        <w:rPr>
          <w:rFonts w:ascii="Arial" w:cs="Arial" w:eastAsia="Arial" w:hAnsi="Arial"/>
          <w:sz w:val="22"/>
          <w:szCs w:val="22"/>
        </w:rPr>
        <w:t xml:space="preserve">DishDash_Milestone3-5.ipynb — end-to-end data pipeline (Google Colab)</w:t>
      </w:r>
    </w:p>
    <w:p>
      <w:pPr>
        <w:spacing w:after="0" w:before="40"/>
      </w:pPr>
      <w:r>
        <w:t xml:space="preserve"/>
      </w:r>
    </w:p>
    <w:p>
      <w:pPr>
        <w:spacing w:after="20" w:before="60"/>
        <w:jc w:val="left"/>
      </w:pPr>
      <w:r>
        <w:rPr>
          <w:rFonts w:ascii="Arial" w:cs="Arial" w:eastAsia="Arial" w:hAnsi="Arial"/>
          <w:b/>
          <w:bCs/>
          <w:color w:val="000000"/>
          <w:sz w:val="22"/>
          <w:szCs w:val="22"/>
        </w:rPr>
        <w:t xml:space="preserve">Documentation</w:t>
      </w:r>
    </w:p>
    <w:p>
      <w:pPr>
        <w:pStyle w:val="ListParagraph"/>
        <w:numPr>
          <w:ilvl w:val="0"/>
          <w:numId w:val="2"/>
        </w:numPr>
        <w:spacing w:after="40" w:before="40"/>
      </w:pPr>
      <w:r>
        <w:rPr>
          <w:rFonts w:ascii="Arial" w:cs="Arial" w:eastAsia="Arial" w:hAnsi="Arial"/>
          <w:sz w:val="22"/>
          <w:szCs w:val="22"/>
        </w:rPr>
        <w:t xml:space="preserve">high-level.md — module catalog with full function-level descriptions</w:t>
      </w:r>
    </w:p>
    <w:p>
      <w:pPr>
        <w:pStyle w:val="ListParagraph"/>
        <w:numPr>
          <w:ilvl w:val="0"/>
          <w:numId w:val="2"/>
        </w:numPr>
        <w:spacing w:after="40" w:before="40"/>
      </w:pPr>
      <w:r>
        <w:rPr>
          <w:rFonts w:ascii="Arial" w:cs="Arial" w:eastAsia="Arial" w:hAnsi="Arial"/>
          <w:sz w:val="22"/>
          <w:szCs w:val="22"/>
        </w:rPr>
        <w:t xml:space="preserve">Schemas.md — complete database schema reference for all three tables</w:t>
      </w:r>
    </w:p>
    <w:p>
      <w:pPr>
        <w:pStyle w:val="ListParagraph"/>
        <w:numPr>
          <w:ilvl w:val="0"/>
          <w:numId w:val="2"/>
        </w:numPr>
        <w:spacing w:after="40" w:before="40"/>
      </w:pPr>
      <w:r>
        <w:rPr>
          <w:rFonts w:ascii="Arial" w:cs="Arial" w:eastAsia="Arial" w:hAnsi="Arial"/>
          <w:sz w:val="22"/>
          <w:szCs w:val="22"/>
        </w:rPr>
        <w:t xml:space="preserve">backend-high-level.md — overview of all backend components, APIs, error handling</w:t>
      </w:r>
    </w:p>
    <w:p>
      <w:pPr>
        <w:pStyle w:val="ListParagraph"/>
        <w:numPr>
          <w:ilvl w:val="0"/>
          <w:numId w:val="2"/>
        </w:numPr>
        <w:spacing w:after="40" w:before="40"/>
      </w:pPr>
      <w:r>
        <w:rPr>
          <w:rFonts w:ascii="Arial" w:cs="Arial" w:eastAsia="Arial" w:hAnsi="Arial"/>
          <w:sz w:val="22"/>
          <w:szCs w:val="22"/>
        </w:rPr>
        <w:t xml:space="preserve">backend-low-level/data-pipeline.md — in-depth technical documentation for the pipeline</w:t>
      </w:r>
    </w:p>
    <w:p>
      <w:pPr>
        <w:pStyle w:val="ListParagraph"/>
        <w:numPr>
          <w:ilvl w:val="0"/>
          <w:numId w:val="2"/>
        </w:numPr>
        <w:spacing w:after="40" w:before="40"/>
      </w:pPr>
      <w:r>
        <w:rPr>
          <w:rFonts w:ascii="Arial" w:cs="Arial" w:eastAsia="Arial" w:hAnsi="Arial"/>
          <w:sz w:val="22"/>
          <w:szCs w:val="22"/>
        </w:rPr>
        <w:t xml:space="preserve">ml-high-level.md — overview of current and planned ML systems</w:t>
      </w:r>
    </w:p>
    <w:p>
      <w:pPr>
        <w:pStyle w:val="ListParagraph"/>
        <w:numPr>
          <w:ilvl w:val="0"/>
          <w:numId w:val="2"/>
        </w:numPr>
        <w:spacing w:after="40" w:before="40"/>
      </w:pPr>
      <w:r>
        <w:rPr>
          <w:rFonts w:ascii="Arial" w:cs="Arial" w:eastAsia="Arial" w:hAnsi="Arial"/>
          <w:sz w:val="22"/>
          <w:szCs w:val="22"/>
        </w:rPr>
        <w:t xml:space="preserve">ml-low-level/sentiment-analysis.md — detailed documentation for the sentiment analysis pipeline</w:t>
      </w:r>
    </w:p>
    <w:p>
      <w:pPr>
        <w:spacing w:after="0" w:before="100"/>
      </w:pPr>
      <w:r>
        <w:t xml:space="preserve"/>
      </w:r>
    </w:p>
    <w:p>
      <w:pPr>
        <w:pBdr>
          <w:top w:val="single" w:color="CCCCCC" w:sz="4" w:space="6"/>
        </w:pBdr>
        <w:spacing w:after="0" w:before="200"/>
        <w:jc w:val="center"/>
      </w:pPr>
      <w:r>
        <w:rPr>
          <w:rFonts w:ascii="Arial" w:cs="Arial" w:eastAsia="Arial" w:hAnsi="Arial"/>
          <w:i/>
          <w:iCs/>
          <w:color w:val="595959"/>
          <w:sz w:val="18"/>
          <w:szCs w:val="18"/>
        </w:rPr>
        <w:t xml:space="preserve">DishDash — S2 Altman's Angels — NYU Stern Spring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2026-04-01T15:10:25.704Z</dcterms:created>
  <dcterms:modified xsi:type="dcterms:W3CDTF">2026-04-01T15:10:25.705Z</dcterms:modified>
</cp:coreProperties>
</file>

<file path=docProps/custom.xml><?xml version="1.0" encoding="utf-8"?>
<Properties xmlns="http://schemas.openxmlformats.org/officeDocument/2006/custom-properties" xmlns:vt="http://schemas.openxmlformats.org/officeDocument/2006/docPropsVTypes"/>
</file>