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
<Relationships xmlns="http://schemas.openxmlformats.org/package/2006/relationships">
    <Relationship Id="rId1"
        Type="http://schemas.openxmlformats.org/officeDocument/2006/relationships/officeDocument"
        Target="word/document.xml" />
    <Relationship Id="rId2"
        Type="http://schemas.openxmlformats.org/package/2006/relationships/metadata/core-properties"
        Target="docProps/core.xml" />
    <Relationship Id="rId3"
        Type="http://schemas.openxmlformats.org/officeDocument/2006/relationships/extended-properties"
        Target="docProps/app.xml" />
    <Relationship Id="rId4"
        Type="http://schemas.openxmlformats.org/officeDocument/2006/relationships/custom-properties"
        Target="docProps/custom.xml" 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v="urn:schemas-microsoft-com:vml" xmlns:o="urn:schemas-microsoft-com:office:office" xmlns:w14="http://schemas.microsoft.com/office/word/2010/wordml" xmlns:wp14="http://schemas.microsoft.com/office/word/2010/wordml">
  <w:background w:color="FFFFFF"/>
  <w:body>
    <w:p>
      <w:pPr>
        <w:spacing w:line="270" w:lineRule="auto" w:after="0" w:before="0"/>
        <w:jc w:val="center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9.7"/>
          <w:szCs w:val="29.7"/>
          <w:position w:val="0"/>
          <w:shd w:val="clear" w:color="auto" w:fill="auto"/>
        </w:rPr>
        <w:t xml:space="preserve">Yashon Carmack</w:t>
      </w:r>
    </w:p>
    <w:p>
      <w:pPr>
        <w:spacing w:line="270" w:lineRule="auto" w:after="0" w:before="0"/>
        <w:jc w:val="center"/>
        <w:ind w:left="0" w:right="0"/>
      </w:pPr>
      <w:rPr>
        <w:sz w:val="0"/>
      </w:rPr>
      <w:r>
        <w:drawing>
          <wp:inline distT="0" distB="0" distL="0" distR="0">
            <wp:extent cx="91440" cy="9144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email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3.5"/>
          <w:szCs w:val="13.5"/>
          <w:position w:val="0"/>
          <w:shd w:val="clear" w:color="auto" w:fill="auto"/>
        </w:rPr>
        <w:t xml:space="preserve">yashoncarmack@gmail.com  </w:t>
      </w:r>
      <w:r>
        <w:drawing>
          <wp:inline distT="0" distB="0" distL="0" distR="0">
            <wp:extent cx="91440" cy="9144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phone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3.5"/>
          <w:szCs w:val="13.5"/>
          <w:position w:val="0"/>
          <w:shd w:val="clear" w:color="auto" w:fill="auto"/>
        </w:rPr>
        <w:t xml:space="preserve">9195939055  </w:t>
      </w:r>
      <w:r>
        <w:drawing>
          <wp:inline distT="0" distB="0" distL="0" distR="0">
            <wp:extent cx="91440" cy="9144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inkedIn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3.5"/>
          <w:szCs w:val="13.5"/>
          <w:position w:val="0"/>
          <w:shd w:val="clear" w:color="auto" w:fill="auto"/>
        </w:rPr>
        <w:t xml:space="preserve">yashon-carmack-43911b70overlaycontact-info</w:t>
      </w:r>
    </w:p>
    <w:p>
      <w:pPr>
        <w:pStyle w:val="ReziHeading"/>
        <w:spacing w:line="270" w:lineRule="auto" w:after="60" w:before="180"/>
        <w:jc w:val="left"/>
        <w:ind w:left="0" w:right="0"/>
      </w:pPr>
      <w:rPr>
        <w:sz w:val="20.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0.7"/>
          <w:szCs w:val="20.7"/>
          <w:position w:val="0"/>
          <w:shd w:val="clear" w:color="auto" w:fill="auto"/>
        </w:rPr>
        <w:t xml:space="preserve">SUMMARY</w:t>
      </w:r>
    </w:p>
    <w:p>
      <w:pPr>
        <w:spacing w:line="270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Results-driven Cybersecurity and Cloud Security Professional with over 3 years of hands-on experience securing cloud infrastructure, detecting vulnerabilities, and leading security operations. Demonstrated success implementing Zero Trust principles, conducting security audits, and automating remediation in multi-cloud environments (AWS &amp; Azure). Strong background in incident response, vulnerability management, XDR tools, and endpoint protection. Certified in Security+, AWS Solutions Architect Associate, and Azure Fundamentals, with a passion for continuous learning and fostering security awareness across organizations.</w:t>
      </w:r>
    </w:p>
    <w:p>
      <w:pPr>
        <w:pStyle w:val="ReziHeading"/>
        <w:spacing w:line="270" w:lineRule="auto" w:after="60" w:before="180"/>
        <w:jc w:val="left"/>
        <w:ind w:left="0" w:right="0"/>
      </w:pPr>
      <w:rPr>
        <w:sz w:val="20.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0.7"/>
          <w:szCs w:val="20.7"/>
          <w:position w:val="0"/>
          <w:shd w:val="clear" w:color="auto" w:fill="auto"/>
        </w:rPr>
        <w:t xml:space="preserve">EXPERIENCE</w:t>
      </w:r>
    </w:p>
    <w:p>
      <w:pPr>
        <w:spacing w:line="270" w:lineRule="auto" w:after="0" w:before="0"/>
        <w:jc w:val="left"/>
        <w:ind w:left="0" w:right="0"/>
      </w:pPr>
      <w:rPr>
        <w:sz w:val="1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8"/>
          <w:szCs w:val="18"/>
          <w:position w:val="0"/>
          <w:shd w:val="clear" w:color="auto" w:fill="auto"/>
        </w:rPr>
        <w:t xml:space="preserve">System Administrator / Security Engineer</w:t>
      </w:r>
    </w:p>
    <w:p>
      <w:pPr>
        <w:spacing w:line="270" w:lineRule="auto" w:after="0" w:before="0"/>
        <w:jc w:val="left"/>
        <w:ind w:left="0" w:right="0"/>
        <w:tabs>
          <w:tab w:val="right" w:pos="20000"/>
        </w:tabs>
      </w:pPr>
      <w:rPr>
        <w:sz w:val="0"/>
      </w:rP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Washington Metropolitan Area Transit Authority (WMATA)</w:t>
      </w:r>
      <w:r>
        <w:tab/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June 2014 - Present, Washington, DC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Conduct regular security audits and MFA implementation across critical systems to support Zero Trust framework.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Spearheaded the deployment and monitoring of secure infrastructure using AWS and Azure security best practices.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Led efforts in incident response, vulnerability scanning, and remediation using Tenable and XDR tools.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Developed and enforced access controls, IAM policies, and firewall rules for internal and cloud environments.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Coordinated security awareness training and developed internal documentation on compliance practices (FISMA, HIPAA).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Collaborated cross-functionally with IT teams to automate updates and patching through CI/CD pipelines.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Managed quarterly firewall evaluations and configurations with Azure Firewall and Cisco security solutions, resulting in a 30% decline in unauthorized access incidents.</w:t>
      </w:r>
    </w:p>
    <w:p>
      <w:pPr>
        <w:pStyle w:val="ReziHeading"/>
        <w:spacing w:line="270" w:lineRule="auto" w:after="60" w:before="180"/>
        <w:jc w:val="left"/>
        <w:ind w:left="0" w:right="0"/>
      </w:pPr>
      <w:rPr>
        <w:sz w:val="20.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0.7"/>
          <w:szCs w:val="20.7"/>
          <w:position w:val="0"/>
          <w:shd w:val="clear" w:color="auto" w:fill="auto"/>
        </w:rPr>
        <w:t xml:space="preserve">EDUCATION</w:t>
      </w:r>
    </w:p>
    <w:p>
      <w:pPr>
        <w:spacing w:line="270" w:lineRule="auto" w:after="0" w:before="0"/>
        <w:jc w:val="left"/>
        <w:ind w:left="0" w:right="0"/>
      </w:pPr>
      <w:rPr>
        <w:sz w:val="1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8"/>
          <w:szCs w:val="18"/>
          <w:position w:val="0"/>
          <w:shd w:val="clear" w:color="auto" w:fill="auto"/>
        </w:rPr>
        <w:t xml:space="preserve">Associate’s in Information Security</w:t>
      </w:r>
    </w:p>
    <w:p>
      <w:pPr>
        <w:spacing w:line="270" w:lineRule="auto" w:after="0" w:before="0"/>
        <w:jc w:val="left"/>
        <w:ind w:left="0" w:right="0"/>
      </w:pPr>
      <w:rPr>
        <w:sz w:val="15.299999999999999"/>
      </w:rP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Anne Arundel Community College • Arnold, MD • 2022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70" w:lineRule="auto" w:after="0" w:before="0"/>
        <w:jc w:val="left"/>
        <w:ind w:left="0" w:right="0"/>
      </w:pPr>
      <w:rPr>
        <w:sz w:val="1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8"/>
          <w:szCs w:val="18"/>
          <w:position w:val="0"/>
          <w:shd w:val="clear" w:color="auto" w:fill="auto"/>
        </w:rPr>
        <w:t xml:space="preserve">Master of Business Administration (MBA) </w:t>
      </w:r>
    </w:p>
    <w:p>
      <w:pPr>
        <w:spacing w:line="270" w:lineRule="auto" w:after="0" w:before="0"/>
        <w:jc w:val="left"/>
        <w:ind w:left="0" w:right="0"/>
      </w:pPr>
      <w:rPr>
        <w:sz w:val="15.299999999999999"/>
      </w:rP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Strayer University • Washington DC • 2017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70" w:lineRule="auto" w:after="0" w:before="0"/>
        <w:jc w:val="left"/>
        <w:ind w:left="0" w:right="0"/>
      </w:pPr>
      <w:rPr>
        <w:sz w:val="1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8"/>
          <w:szCs w:val="18"/>
          <w:position w:val="0"/>
          <w:shd w:val="clear" w:color="auto" w:fill="auto"/>
        </w:rPr>
        <w:t xml:space="preserve">Bachelor’s in Radiation Therapy</w:t>
      </w:r>
    </w:p>
    <w:p>
      <w:pPr>
        <w:spacing w:line="270" w:lineRule="auto" w:after="0" w:before="0"/>
        <w:jc w:val="left"/>
        <w:ind w:left="0" w:right="0"/>
      </w:pPr>
      <w:rPr>
        <w:sz w:val="15.299999999999999"/>
      </w:rP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Howard University • Washington, DC • 2011</w:t>
      </w:r>
    </w:p>
    <w:p>
      <w:pPr>
        <w:pStyle w:val="ReziHeading"/>
        <w:spacing w:line="270" w:lineRule="auto" w:after="60" w:before="180"/>
        <w:jc w:val="left"/>
        <w:ind w:left="0" w:right="0"/>
      </w:pPr>
      <w:rPr>
        <w:sz w:val="20.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0.7"/>
          <w:szCs w:val="20.7"/>
          <w:position w:val="0"/>
          <w:shd w:val="clear" w:color="auto" w:fill="auto"/>
        </w:rPr>
        <w:t xml:space="preserve">CERTIFICATIONS</w:t>
      </w:r>
    </w:p>
    <w:p>
      <w:pPr>
        <w:spacing w:line="270" w:lineRule="auto" w:after="0" w:before="0"/>
        <w:jc w:val="left"/>
        <w:ind w:left="0" w:right="0"/>
      </w:pPr>
      <w:rPr>
        <w:sz w:val="1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8"/>
          <w:szCs w:val="18"/>
          <w:position w:val="0"/>
          <w:shd w:val="clear" w:color="auto" w:fill="auto"/>
        </w:rPr>
        <w:t xml:space="preserve">Microsoft Certified: Azure Fundamentals</w:t>
      </w:r>
    </w:p>
    <w:p>
      <w:pPr>
        <w:spacing w:line="270" w:lineRule="auto" w:after="0" w:before="0"/>
        <w:jc w:val="left"/>
        <w:ind w:left="0" w:right="0"/>
      </w:pPr>
      <w:rPr>
        <w:sz w:val="15.299999999999999"/>
      </w:rP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Microsoft  • 2024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70" w:lineRule="auto" w:after="0" w:before="0"/>
        <w:jc w:val="left"/>
        <w:ind w:left="0" w:right="0"/>
      </w:pPr>
      <w:rPr>
        <w:sz w:val="1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8"/>
          <w:szCs w:val="18"/>
          <w:position w:val="0"/>
          <w:shd w:val="clear" w:color="auto" w:fill="auto"/>
        </w:rPr>
        <w:t xml:space="preserve">AWS Certified Solutions Architect – Associate</w:t>
      </w:r>
    </w:p>
    <w:p>
      <w:pPr>
        <w:spacing w:line="270" w:lineRule="auto" w:after="0" w:before="0"/>
        <w:jc w:val="left"/>
        <w:ind w:left="0" w:right="0"/>
      </w:pPr>
      <w:rPr>
        <w:sz w:val="15.299999999999999"/>
      </w:rP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AWS • 2023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70" w:lineRule="auto" w:after="0" w:before="0"/>
        <w:jc w:val="left"/>
        <w:ind w:left="0" w:right="0"/>
      </w:pPr>
      <w:rPr>
        <w:sz w:val="18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8"/>
          <w:szCs w:val="18"/>
          <w:position w:val="0"/>
          <w:shd w:val="clear" w:color="auto" w:fill="auto"/>
        </w:rPr>
        <w:t xml:space="preserve">CompTIA Security+</w:t>
      </w:r>
    </w:p>
    <w:p>
      <w:pPr>
        <w:spacing w:line="270" w:lineRule="auto" w:after="0" w:before="0"/>
        <w:jc w:val="left"/>
        <w:ind w:left="0" w:right="0"/>
      </w:pPr>
      <w:rPr>
        <w:sz w:val="15.299999999999999"/>
      </w:rP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CompTIA • 2022</w:t>
      </w:r>
    </w:p>
    <w:p>
      <w:pPr>
        <w:pStyle w:val="ReziHeading"/>
        <w:spacing w:line="270" w:lineRule="auto" w:after="60" w:before="180"/>
        <w:jc w:val="left"/>
        <w:ind w:left="0" w:right="0"/>
      </w:pPr>
      <w:rPr>
        <w:sz w:val="20.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0.7"/>
          <w:szCs w:val="20.7"/>
          <w:position w:val="0"/>
          <w:shd w:val="clear" w:color="auto" w:fill="auto"/>
        </w:rPr>
        <w:t xml:space="preserve">SKILLS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Security Risk &amp; Vulnerability Management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Incident Detection &amp; Response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Cloud Security (AWS &amp; Azure)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Infrastructure as Code (Terraform, Ansible)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Endpoint &amp; Network Protection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Threat Intelligence &amp; XDR Solutions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Zero Trust &amp; Least Privilege Architecture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Security Awareness Training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Security Tools: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 Tenable, Trivy, Defender for Cloud, XDR platforms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Automation: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 Terraform, Ansible, GitHub Actions, Jenkins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Languages: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 Python, Bash</w:t>
      </w:r>
    </w:p>
    <w:p>
      <w:pPr>
        <w:numPr>
          <w:ilvl w:val="0"/>
          <w:numId w:val="1"/>
        </w:numPr>
        <w:spacing w:line="270" w:lineRule="auto" w:after="0" w:before="0"/>
        <w:jc w:val="left"/>
        <w:ind w:left="111" w:right="0"/>
      </w:pPr>
      <w:rPr>
        <w:sz w:val="15.299999999999999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Compliance: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5.299999999999999"/>
          <w:szCs w:val="15.299999999999999"/>
          <w:position w:val="0"/>
          <w:shd w:val="clear" w:color="auto" w:fill="auto"/>
        </w:rPr>
        <w:t xml:space="preserve"> HIPAA, FERPA, PCI DSS, FISMA, GDPR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erriweather Light"/>
  <w:font w:name="Merriweather"/>
  <w:font w:name="Source Sasns 3 Light"/>
  <w:font w:name="Source Sans 3"/>
  <w:font w:name="Comic Sans MS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start w:val="1"/>
      <w:numFmt w:val="bullet"/>
      <w:lvlText w:val="•"/>
      <w:lvlJc w:val="left"/>
      <w:pPr>
        <w:ind w:left="0" w:hanging="90"/>
      </w:pPr>
      <w:rPr>
        <w:rFonts w:ascii="Times New Roman" w:hAnsi="Times New Roman" w:cs="Times New Roman" w:eastAsia="Times New Roman"/>
        <!-- Added this line -->
        <w:b w:val="0"/>
        <w:i w:val="0"/>
        <w:smallCaps w:val="0"/>
        <w:strike w:val="0"/>
        <w:color w:val="00000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erriweather Light" w:eastAsia="SimSun" w:hAnsi="Merriweather Light" w:cs="Georgia"/>
      </w:rPr>
    </w:rPrDefault>
  </w:docDefaults>
  <w:style w:styleId="EastAsian" w:type="paragraph">
    <w:name w:val="East Asian Style"/>
    <w:rPr>
      <!-- Chinese fallback -->
      <w:rFonts w:eastAsia="SimSun" w:hAnsi="Georgia" w:cs="Georgia"/>
      <!-- Korean fallback -->
      <w:rFonts w:eastAsia="Batang" w:hAnsi="Georgia" w:cs="Georgia"/>
      <!-- Japanese fallback -->
      <w:rFonts w:eastAsia="Yu Gothic" w:hAnsi="Georgia" w:cs="Georgia"/>
    </w:rPr>
  </w:style>
  <w:style w:type="paragraph" w:customStyle="1" w:styleId="ReziHeading">
    <w:name w:val="Rezi_Heading"/>
    <w:pPr>
      <w:pBdr>
        <w:top w:val="single" w:sz="1" w:color="e5e7eb" w:space="9"/>
        <w:bottom w:val="single" w:sz="1" w:color="000000" w:space="1"/>
      </w:pBdr>
    </w:pPr>
  </w:style>
</w:styles>
</file>

<file path=word/_rels/document.xml.rels><?xml version="1.0" encoding="UTF-8"?>
<Relationships xmlns="http://schemas.openxmlformats.org/package/2006/relationships">
    <Relationship Id="rId1"
        Type="http://schemas.openxmlformats.org/officeDocument/2006/relationships/styles"
        Target="styles.xml" />
    <Relationship Id="rId2"
        Type="http://schemas.openxmlformats.org/officeDocument/2006/relationships/numbering"
        Target="numbering.xml" />
    <Relationship Id="rId3"
        Type="http://schemas.openxmlformats.org/officeDocument/2006/relationships/footnotes"
        Target="footnotes.xml" />
    <Relationship Id="rId4"
        Type="http://schemas.openxmlformats.org/officeDocument/2006/relationships/settings"
        Target="settings.xml" />
    <Relationship Id="rId5"
        Type="http://schemas.openxmlformats.org/officeDocument/2006/relationships/comments"
        Target="comments.xml" />
    <Relationship Id="emailRelId"
    Type="http://schemas.openxmlformats.org/officeDocument/2006/relationships/image"
    Target="media/email.png" /><Relationship Id="phoneRelId"
    Type="http://schemas.openxmlformats.org/officeDocument/2006/relationships/image"
    Target="media/phone.png" /><Relationship Id="linkedInRelId"
    Type="http://schemas.openxmlformats.org/officeDocument/2006/relationships/image"
    Target="media/linkedin.png" />
</Relationships>
</file>

<file path=word/_rels/footnotes.xml.rels><?xml version="1.0" encoding="UTF-8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2024-03-28T00:35:24.345Z</dcterms:created>
  <dcterms:modified xsi:type="dcterms:W3CDTF">2024-03-28T00:35:24.345Z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