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Photosynthesis Lab Report</w:t>
      </w:r>
    </w:p>
    <w:p>
      <w:pPr>
        <w:pStyle w:val="BodyText"/>
        <w:bidi w:val="0"/>
        <w:jc w:val="left"/>
        <w:rPr/>
      </w:pPr>
      <w:r>
        <w:rPr/>
        <w:t>Course BIO101, section 2. Submitted 14 September 2026.</w:t>
      </w:r>
    </w:p>
    <w:p>
      <w:pPr>
        <w:pStyle w:val="BodyText"/>
        <w:bidi w:val="0"/>
        <w:jc w:val="left"/>
        <w:rPr/>
      </w:pPr>
      <w:r>
        <w:rPr/>
        <w:t>We measured how light intensity changes the rate of photosynthesis in pondweed. Oxygen bubbles were counted for five minutes at each distance from the lamp.</w:t>
      </w:r>
    </w:p>
    <w:tbl>
      <w:tblPr>
        <w:tblW w:w="18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931"/>
      </w:tblGrid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Distance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Bubbles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 cm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 cm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The rate fell as the lamp moved away, which supports the inverse square law.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Photosynthesis Lab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