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26A97">
      <w:pPr>
        <w:spacing w:line="240" w:lineRule="auto"/>
        <w:rPr>
          <w:rFonts w:hint="default" w:ascii="Times New Roman" w:hAnsi="Times New Roman" w:eastAsia="方正小标宋简体" w:cs="Times New Roman"/>
          <w:color w:val="auto"/>
          <w:sz w:val="32"/>
          <w:szCs w:val="32"/>
          <w:highlight w:val="none"/>
        </w:rPr>
      </w:pPr>
      <w:r>
        <w:rPr>
          <w:rFonts w:hint="default" w:ascii="Times New Roman" w:hAnsi="Times New Roman" w:eastAsia="黑体" w:cs="Times New Roman"/>
          <w:color w:val="auto"/>
          <w:sz w:val="32"/>
          <w:szCs w:val="32"/>
          <w:highlight w:val="none"/>
        </w:rPr>
        <w:t>附件4</w:t>
      </w:r>
    </w:p>
    <w:p w14:paraId="2E34B97B">
      <w:pPr>
        <w:spacing w:line="600" w:lineRule="exact"/>
        <w:jc w:val="center"/>
        <w:rPr>
          <w:rFonts w:hint="default" w:ascii="Times New Roman" w:hAnsi="Times New Roman" w:eastAsia="方正小标宋简体" w:cs="Times New Roman"/>
          <w:color w:val="auto"/>
          <w:sz w:val="44"/>
          <w:szCs w:val="44"/>
          <w:highlight w:val="none"/>
        </w:rPr>
      </w:pPr>
      <w:r>
        <w:rPr>
          <w:rFonts w:hint="default" w:ascii="Times New Roman" w:hAnsi="Times New Roman" w:eastAsia="方正小标宋简体" w:cs="Times New Roman"/>
          <w:color w:val="auto"/>
          <w:sz w:val="44"/>
          <w:szCs w:val="44"/>
          <w:highlight w:val="none"/>
        </w:rPr>
        <w:t>202</w:t>
      </w:r>
      <w:r>
        <w:rPr>
          <w:rFonts w:hint="default" w:ascii="Times New Roman" w:hAnsi="Times New Roman" w:eastAsia="方正小标宋简体" w:cs="Times New Roman"/>
          <w:color w:val="auto"/>
          <w:sz w:val="44"/>
          <w:szCs w:val="44"/>
          <w:highlight w:val="none"/>
          <w:lang w:val="en-US" w:eastAsia="zh-CN"/>
        </w:rPr>
        <w:t>6</w:t>
      </w:r>
      <w:r>
        <w:rPr>
          <w:rFonts w:hint="default" w:ascii="Times New Roman" w:hAnsi="Times New Roman" w:eastAsia="方正小标宋简体" w:cs="Times New Roman"/>
          <w:color w:val="auto"/>
          <w:sz w:val="44"/>
          <w:szCs w:val="44"/>
          <w:highlight w:val="none"/>
        </w:rPr>
        <w:t>年荔湾区义务教育阶段政策性照顾</w:t>
      </w:r>
    </w:p>
    <w:p w14:paraId="3366BA40">
      <w:pPr>
        <w:spacing w:line="600" w:lineRule="exact"/>
        <w:jc w:val="center"/>
        <w:rPr>
          <w:rFonts w:hint="default" w:ascii="Times New Roman" w:hAnsi="Times New Roman" w:eastAsia="方正小标宋简体" w:cs="Times New Roman"/>
          <w:color w:val="auto"/>
          <w:sz w:val="44"/>
          <w:szCs w:val="44"/>
          <w:highlight w:val="none"/>
        </w:rPr>
      </w:pPr>
      <w:r>
        <w:rPr>
          <w:rFonts w:hint="default" w:ascii="Times New Roman" w:hAnsi="Times New Roman" w:eastAsia="方正小标宋简体" w:cs="Times New Roman"/>
          <w:color w:val="auto"/>
          <w:sz w:val="44"/>
          <w:szCs w:val="44"/>
          <w:highlight w:val="none"/>
        </w:rPr>
        <w:t>学生清单</w:t>
      </w:r>
    </w:p>
    <w:p w14:paraId="12AE0914">
      <w:pPr>
        <w:spacing w:line="600" w:lineRule="exact"/>
        <w:jc w:val="center"/>
        <w:rPr>
          <w:rFonts w:hint="default" w:ascii="Times New Roman" w:hAnsi="Times New Roman" w:eastAsia="方正小标宋简体" w:cs="Times New Roman"/>
          <w:color w:val="auto"/>
          <w:sz w:val="44"/>
          <w:szCs w:val="44"/>
          <w:highlight w:val="none"/>
        </w:rPr>
      </w:pPr>
    </w:p>
    <w:tbl>
      <w:tblPr>
        <w:tblStyle w:val="3"/>
        <w:tblW w:w="0" w:type="auto"/>
        <w:jc w:val="center"/>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CellMar>
          <w:top w:w="0" w:type="dxa"/>
          <w:left w:w="108" w:type="dxa"/>
          <w:bottom w:w="0" w:type="dxa"/>
          <w:right w:w="108" w:type="dxa"/>
        </w:tblCellMar>
      </w:tblPr>
      <w:tblGrid>
        <w:gridCol w:w="964"/>
        <w:gridCol w:w="3118"/>
        <w:gridCol w:w="659"/>
        <w:gridCol w:w="4902"/>
      </w:tblGrid>
      <w:tr w14:paraId="49EF19DE">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560" w:hRule="atLeast"/>
          <w:tblHeader/>
          <w:jc w:val="center"/>
        </w:trPr>
        <w:tc>
          <w:tcPr>
            <w:tcW w:w="964" w:type="dxa"/>
            <w:tcBorders>
              <w:top w:val="single" w:color="00000A" w:sz="4" w:space="0"/>
              <w:left w:val="single" w:color="00000A" w:sz="4" w:space="0"/>
              <w:bottom w:val="single" w:color="00000A" w:sz="4" w:space="0"/>
              <w:right w:val="single" w:color="00000A" w:sz="4" w:space="0"/>
            </w:tcBorders>
            <w:noWrap w:val="0"/>
            <w:tcMar>
              <w:left w:w="108" w:type="dxa"/>
            </w:tcMar>
            <w:vAlign w:val="center"/>
          </w:tcPr>
          <w:p w14:paraId="03A54EF8">
            <w:pPr>
              <w:spacing w:line="0" w:lineRule="atLeast"/>
              <w:jc w:val="center"/>
              <w:rPr>
                <w:rFonts w:hint="default" w:ascii="Times New Roman" w:hAnsi="Times New Roman" w:eastAsia="黑体" w:cs="Times New Roman"/>
                <w:color w:val="auto"/>
                <w:sz w:val="32"/>
                <w:szCs w:val="21"/>
                <w:highlight w:val="none"/>
              </w:rPr>
            </w:pPr>
            <w:r>
              <w:rPr>
                <w:rFonts w:hint="default" w:ascii="Times New Roman" w:hAnsi="Times New Roman" w:eastAsia="黑体" w:cs="Times New Roman"/>
                <w:color w:val="auto"/>
                <w:sz w:val="32"/>
                <w:szCs w:val="21"/>
                <w:highlight w:val="none"/>
              </w:rPr>
              <w:t>类别</w:t>
            </w:r>
          </w:p>
        </w:tc>
        <w:tc>
          <w:tcPr>
            <w:tcW w:w="3118" w:type="dxa"/>
            <w:tcBorders>
              <w:top w:val="single" w:color="00000A" w:sz="4" w:space="0"/>
              <w:left w:val="single" w:color="00000A" w:sz="4" w:space="0"/>
              <w:bottom w:val="single" w:color="00000A" w:sz="4" w:space="0"/>
              <w:right w:val="single" w:color="00000A" w:sz="4" w:space="0"/>
            </w:tcBorders>
            <w:noWrap w:val="0"/>
            <w:tcMar>
              <w:left w:w="108" w:type="dxa"/>
            </w:tcMar>
            <w:vAlign w:val="center"/>
          </w:tcPr>
          <w:p w14:paraId="5ED72609">
            <w:pPr>
              <w:spacing w:line="0" w:lineRule="atLeast"/>
              <w:jc w:val="center"/>
              <w:rPr>
                <w:rFonts w:hint="default" w:ascii="Times New Roman" w:hAnsi="Times New Roman" w:eastAsia="黑体" w:cs="Times New Roman"/>
                <w:color w:val="auto"/>
                <w:sz w:val="32"/>
                <w:szCs w:val="21"/>
                <w:highlight w:val="none"/>
              </w:rPr>
            </w:pPr>
            <w:r>
              <w:rPr>
                <w:rFonts w:hint="default" w:ascii="Times New Roman" w:hAnsi="Times New Roman" w:eastAsia="黑体" w:cs="Times New Roman"/>
                <w:color w:val="auto"/>
                <w:sz w:val="32"/>
                <w:szCs w:val="21"/>
                <w:highlight w:val="none"/>
              </w:rPr>
              <w:t>对    象</w:t>
            </w:r>
          </w:p>
        </w:tc>
        <w:tc>
          <w:tcPr>
            <w:tcW w:w="5561" w:type="dxa"/>
            <w:gridSpan w:val="2"/>
            <w:tcBorders>
              <w:top w:val="single" w:color="00000A" w:sz="4" w:space="0"/>
              <w:left w:val="single" w:color="00000A" w:sz="4" w:space="0"/>
              <w:bottom w:val="single" w:color="00000A" w:sz="4" w:space="0"/>
              <w:right w:val="single" w:color="00000A" w:sz="4" w:space="0"/>
            </w:tcBorders>
            <w:noWrap w:val="0"/>
            <w:tcMar>
              <w:left w:w="108" w:type="dxa"/>
            </w:tcMar>
            <w:vAlign w:val="center"/>
          </w:tcPr>
          <w:p w14:paraId="3D27DC1A">
            <w:pPr>
              <w:spacing w:line="0" w:lineRule="atLeast"/>
              <w:jc w:val="center"/>
              <w:rPr>
                <w:rFonts w:hint="default" w:ascii="Times New Roman" w:hAnsi="Times New Roman" w:eastAsia="黑体" w:cs="Times New Roman"/>
                <w:color w:val="auto"/>
                <w:sz w:val="32"/>
                <w:szCs w:val="21"/>
                <w:highlight w:val="none"/>
              </w:rPr>
            </w:pPr>
            <w:r>
              <w:rPr>
                <w:rFonts w:hint="default" w:ascii="Times New Roman" w:hAnsi="Times New Roman" w:eastAsia="黑体" w:cs="Times New Roman"/>
                <w:color w:val="auto"/>
                <w:sz w:val="32"/>
                <w:szCs w:val="21"/>
                <w:highlight w:val="none"/>
              </w:rPr>
              <w:t>佐证材料</w:t>
            </w:r>
          </w:p>
        </w:tc>
      </w:tr>
      <w:tr w14:paraId="2657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13" w:hRule="atLeast"/>
          <w:jc w:val="center"/>
        </w:trPr>
        <w:tc>
          <w:tcPr>
            <w:tcW w:w="964" w:type="dxa"/>
            <w:vMerge w:val="restart"/>
            <w:tcBorders>
              <w:top w:val="single" w:color="auto" w:sz="4" w:space="0"/>
              <w:left w:val="single" w:color="auto" w:sz="4" w:space="0"/>
              <w:right w:val="single" w:color="auto" w:sz="4" w:space="0"/>
            </w:tcBorders>
            <w:noWrap w:val="0"/>
            <w:vAlign w:val="center"/>
          </w:tcPr>
          <w:p w14:paraId="639163A0">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优抚</w:t>
            </w:r>
          </w:p>
          <w:p w14:paraId="611B71DF">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群体类</w:t>
            </w:r>
          </w:p>
        </w:tc>
        <w:tc>
          <w:tcPr>
            <w:tcW w:w="3118" w:type="dxa"/>
            <w:tcBorders>
              <w:top w:val="single" w:color="auto" w:sz="4" w:space="0"/>
              <w:left w:val="single" w:color="auto" w:sz="4" w:space="0"/>
              <w:bottom w:val="single" w:color="auto" w:sz="4" w:space="0"/>
              <w:right w:val="single" w:color="auto" w:sz="4" w:space="0"/>
            </w:tcBorders>
            <w:noWrap w:val="0"/>
            <w:vAlign w:val="center"/>
          </w:tcPr>
          <w:p w14:paraId="6272A3E2">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烈士、因公牺牲军人、病故军人及现役军人的适龄子女</w:t>
            </w:r>
          </w:p>
        </w:tc>
        <w:tc>
          <w:tcPr>
            <w:tcW w:w="659" w:type="dxa"/>
            <w:vMerge w:val="restart"/>
            <w:tcBorders>
              <w:top w:val="single" w:color="auto" w:sz="4" w:space="0"/>
              <w:left w:val="single" w:color="auto" w:sz="4" w:space="0"/>
              <w:bottom w:val="single" w:color="auto" w:sz="4" w:space="0"/>
              <w:right w:val="single" w:color="auto" w:sz="4" w:space="0"/>
            </w:tcBorders>
            <w:noWrap w:val="0"/>
            <w:vAlign w:val="center"/>
          </w:tcPr>
          <w:p w14:paraId="3A04CDC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本人户口簿、监护人户口簿（直系亲属外的监护人还需提供委托监护的佐证材料，如公证书等）、实际居住地</w:t>
            </w:r>
          </w:p>
          <w:p w14:paraId="0A265296">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佐证材料（如房产证、租赁合同等）</w:t>
            </w:r>
          </w:p>
        </w:tc>
        <w:tc>
          <w:tcPr>
            <w:tcW w:w="4902" w:type="dxa"/>
            <w:tcBorders>
              <w:top w:val="single" w:color="auto" w:sz="4" w:space="0"/>
              <w:left w:val="single" w:color="auto" w:sz="4" w:space="0"/>
              <w:bottom w:val="single" w:color="auto" w:sz="4" w:space="0"/>
              <w:right w:val="single" w:color="auto" w:sz="4" w:space="0"/>
            </w:tcBorders>
            <w:noWrap w:val="0"/>
            <w:vAlign w:val="center"/>
          </w:tcPr>
          <w:p w14:paraId="03FF7DA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县级及以上民政部门等部门发给遗属的《烈士证明书》、《军人因公牺牲证明书》或《军人病故证明书》等</w:t>
            </w:r>
          </w:p>
          <w:p w14:paraId="0A9BDD1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现役军人的军人身份证件（如军官证、文职干部证或士兵证等）</w:t>
            </w:r>
          </w:p>
        </w:tc>
      </w:tr>
      <w:tr w14:paraId="45F20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3" w:hRule="atLeast"/>
          <w:jc w:val="center"/>
        </w:trPr>
        <w:tc>
          <w:tcPr>
            <w:tcW w:w="964" w:type="dxa"/>
            <w:vMerge w:val="continue"/>
            <w:tcBorders>
              <w:left w:val="single" w:color="auto" w:sz="4" w:space="0"/>
              <w:right w:val="single" w:color="auto" w:sz="4" w:space="0"/>
            </w:tcBorders>
            <w:noWrap w:val="0"/>
            <w:vAlign w:val="center"/>
          </w:tcPr>
          <w:p w14:paraId="45DE9833">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1D6F48D7">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snapToGrid w:val="0"/>
                <w:color w:val="auto"/>
                <w:kern w:val="0"/>
                <w:sz w:val="24"/>
                <w:highlight w:val="none"/>
              </w:rPr>
              <w:t>在穗消防部门工作的消防救援人员的适龄子女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350FA90F">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5729B00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有效工作证件</w:t>
            </w:r>
          </w:p>
        </w:tc>
      </w:tr>
      <w:tr w14:paraId="5295D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3" w:hRule="atLeast"/>
          <w:jc w:val="center"/>
        </w:trPr>
        <w:tc>
          <w:tcPr>
            <w:tcW w:w="964" w:type="dxa"/>
            <w:vMerge w:val="continue"/>
            <w:tcBorders>
              <w:left w:val="single" w:color="auto" w:sz="4" w:space="0"/>
              <w:right w:val="single" w:color="auto" w:sz="4" w:space="0"/>
            </w:tcBorders>
            <w:noWrap w:val="0"/>
            <w:vAlign w:val="center"/>
          </w:tcPr>
          <w:p w14:paraId="662AECB7">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12E55FB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合法领养或家庭寄养的孤儿</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1471B242">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271DE85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民政部门发的助养证或家庭寄养协议书、助养人的户口簿</w:t>
            </w:r>
          </w:p>
        </w:tc>
      </w:tr>
      <w:tr w14:paraId="1E6D9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23" w:hRule="atLeast"/>
          <w:jc w:val="center"/>
        </w:trPr>
        <w:tc>
          <w:tcPr>
            <w:tcW w:w="964" w:type="dxa"/>
            <w:vMerge w:val="continue"/>
            <w:tcBorders>
              <w:left w:val="single" w:color="auto" w:sz="4" w:space="0"/>
              <w:right w:val="single" w:color="auto" w:sz="4" w:space="0"/>
            </w:tcBorders>
            <w:noWrap w:val="0"/>
            <w:vAlign w:val="center"/>
          </w:tcPr>
          <w:p w14:paraId="4E919946">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135F381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父母均长期患重病或失去监护子女能力的残疾人委托本市监护人照顾的适龄子女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535F4328">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49E6C91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监护人的广州市户口簿、委托监护佐证材料（如公证书，能对因适龄儿童父母均长期患重病或因残疾失去监护能力需委托监护作出说明）、《残疾人证》、疾病诊断书、病历或出院小结等</w:t>
            </w:r>
          </w:p>
        </w:tc>
      </w:tr>
      <w:tr w14:paraId="52FF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01" w:hRule="atLeast"/>
          <w:jc w:val="center"/>
        </w:trPr>
        <w:tc>
          <w:tcPr>
            <w:tcW w:w="964" w:type="dxa"/>
            <w:vMerge w:val="restart"/>
            <w:tcBorders>
              <w:top w:val="single" w:color="auto" w:sz="4" w:space="0"/>
              <w:left w:val="single" w:color="auto" w:sz="4" w:space="0"/>
              <w:bottom w:val="single" w:color="auto" w:sz="4" w:space="0"/>
              <w:right w:val="single" w:color="auto" w:sz="4" w:space="0"/>
            </w:tcBorders>
            <w:noWrap w:val="0"/>
            <w:vAlign w:val="center"/>
          </w:tcPr>
          <w:p w14:paraId="31A8D211">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特殊</w:t>
            </w:r>
          </w:p>
          <w:p w14:paraId="53CEB389">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行业类</w:t>
            </w:r>
          </w:p>
        </w:tc>
        <w:tc>
          <w:tcPr>
            <w:tcW w:w="3118" w:type="dxa"/>
            <w:tcBorders>
              <w:top w:val="single" w:color="auto" w:sz="4" w:space="0"/>
              <w:left w:val="single" w:color="auto" w:sz="4" w:space="0"/>
              <w:bottom w:val="single" w:color="auto" w:sz="4" w:space="0"/>
              <w:right w:val="single" w:color="auto" w:sz="4" w:space="0"/>
            </w:tcBorders>
            <w:noWrap w:val="0"/>
            <w:vAlign w:val="center"/>
          </w:tcPr>
          <w:p w14:paraId="5F5AE7E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父母均为从事地质勘探等长期野外工作，委托本市监护人照顾的适龄子女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00ED475A">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78E4AA97">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监护人的广州市户口簿、委托监护佐证材料（如公证书）、父母的工作证件或有效劳动合同等</w:t>
            </w:r>
          </w:p>
        </w:tc>
      </w:tr>
      <w:tr w14:paraId="4F1D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362473F2">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5458B832">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殡葬工人的适龄子女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4666A6B7">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68CEB80A">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监护人的《广东省居住证》、工作证件或有效劳动合同等</w:t>
            </w:r>
          </w:p>
        </w:tc>
      </w:tr>
      <w:tr w14:paraId="2B9E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3"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25F3461D">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1DA0E4AD">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从事承担政府环卫作业工作服务连续两年及以上的环卫临时工适龄子女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1087BD23">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3FB6355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监护人的《广东省居住证》、工作证件或有效劳动合同（现有劳动合同如不足连续两年则需提供过往合同）及社保参保证明（或社保缴费清单）等</w:t>
            </w:r>
          </w:p>
        </w:tc>
      </w:tr>
      <w:tr w14:paraId="2DC74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2"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70020FFD">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7090BC6F">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进藏干部职工子女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05DAF78D">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1A1A6ED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进藏干部职工房产证，监护人的工作证件、有效劳动合同或营业执照等</w:t>
            </w:r>
          </w:p>
        </w:tc>
      </w:tr>
      <w:tr w14:paraId="52B3E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3" w:hRule="atLeast"/>
          <w:jc w:val="center"/>
        </w:trPr>
        <w:tc>
          <w:tcPr>
            <w:tcW w:w="964" w:type="dxa"/>
            <w:vMerge w:val="restart"/>
            <w:tcBorders>
              <w:top w:val="single" w:color="auto" w:sz="4" w:space="0"/>
              <w:left w:val="single" w:color="auto" w:sz="4" w:space="0"/>
              <w:bottom w:val="single" w:color="auto" w:sz="4" w:space="0"/>
              <w:right w:val="single" w:color="auto" w:sz="4" w:space="0"/>
            </w:tcBorders>
            <w:noWrap w:val="0"/>
            <w:vAlign w:val="center"/>
          </w:tcPr>
          <w:p w14:paraId="7B68F1BE">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人才类</w:t>
            </w:r>
          </w:p>
        </w:tc>
        <w:tc>
          <w:tcPr>
            <w:tcW w:w="3118" w:type="dxa"/>
            <w:tcBorders>
              <w:top w:val="single" w:color="auto" w:sz="4" w:space="0"/>
              <w:left w:val="single" w:color="auto" w:sz="4" w:space="0"/>
              <w:bottom w:val="single" w:color="auto" w:sz="4" w:space="0"/>
              <w:right w:val="single" w:color="auto" w:sz="4" w:space="0"/>
            </w:tcBorders>
            <w:noWrap w:val="0"/>
            <w:vAlign w:val="center"/>
          </w:tcPr>
          <w:p w14:paraId="6AD6DA3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按规定引进的博士、博士后、外国专家的适龄子女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1580060F">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75B1412A">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监护人的工作证件、已有的相关引进文书等佐证材料、外国专家证件、相关学历证书或有效劳动合同等</w:t>
            </w:r>
          </w:p>
        </w:tc>
      </w:tr>
      <w:tr w14:paraId="70364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48"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5EABA4E0">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63AC16CB">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来穗工作的留学人员的适龄子女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1CC0368E">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75F6EA8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市人力资源社会保障局发的《广州市留学人员优惠资格证》、监护人的工作证件、有效劳动合同或营业执照等</w:t>
            </w:r>
          </w:p>
        </w:tc>
      </w:tr>
      <w:tr w14:paraId="7BABA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5"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175FCF99">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5C65F61E">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高层次人才子女（含海外）</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74D6C973">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193C1FBF">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广州市人才工作领导小组办公室印发的《广州市高层次人才证书》、已有的省市人力资源保障部门或市委组织部函件或主管部门的文件资料等</w:t>
            </w:r>
          </w:p>
        </w:tc>
      </w:tr>
      <w:tr w14:paraId="24F91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5"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40AB4D3C">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0089863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“优粤卡”持有人未成年子女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03F55366">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4B249CB5">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监护人的“优粤卡”</w:t>
            </w:r>
          </w:p>
        </w:tc>
      </w:tr>
      <w:tr w14:paraId="6CDAD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5"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75BCA3AC">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382E98A3">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广州市人才绿卡持有人随迁子女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17637876">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47FB8615">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监护人的《广州市人才绿卡》</w:t>
            </w:r>
          </w:p>
        </w:tc>
      </w:tr>
      <w:tr w14:paraId="2B11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73"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5CC36A39">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34EC0116">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优秀异地务工人员子女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0DD738CC">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13C76985">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监护人所获得“广州市优秀异地务工技能人才”、“广州市优秀异地务工人员”或相应区政府授予优秀称号的佐证材料、监护人的《广东省居住证》</w:t>
            </w:r>
          </w:p>
        </w:tc>
      </w:tr>
      <w:tr w14:paraId="354A9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1" w:hRule="atLeast"/>
          <w:jc w:val="center"/>
        </w:trPr>
        <w:tc>
          <w:tcPr>
            <w:tcW w:w="964" w:type="dxa"/>
            <w:vMerge w:val="restart"/>
            <w:tcBorders>
              <w:top w:val="single" w:color="auto" w:sz="4" w:space="0"/>
              <w:left w:val="single" w:color="auto" w:sz="4" w:space="0"/>
              <w:bottom w:val="single" w:color="auto" w:sz="4" w:space="0"/>
              <w:right w:val="single" w:color="auto" w:sz="4" w:space="0"/>
            </w:tcBorders>
            <w:noWrap w:val="0"/>
            <w:vAlign w:val="center"/>
          </w:tcPr>
          <w:p w14:paraId="24180D7C">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境外</w:t>
            </w:r>
          </w:p>
          <w:p w14:paraId="79BB9109">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群体类</w:t>
            </w:r>
          </w:p>
        </w:tc>
        <w:tc>
          <w:tcPr>
            <w:tcW w:w="3118" w:type="dxa"/>
            <w:tcBorders>
              <w:top w:val="single" w:color="auto" w:sz="4" w:space="0"/>
              <w:left w:val="single" w:color="auto" w:sz="4" w:space="0"/>
              <w:bottom w:val="single" w:color="auto" w:sz="4" w:space="0"/>
              <w:right w:val="single" w:color="auto" w:sz="4" w:space="0"/>
            </w:tcBorders>
            <w:noWrap w:val="0"/>
            <w:vAlign w:val="center"/>
          </w:tcPr>
          <w:p w14:paraId="2C8A782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海外华侨华人子女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59399CD8">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782201D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监护人的护照、身份证件、相应国永久居留证件、其他已有的能体现其华侨华人身份的材料（如中国户口簿、监护人出生证等）等</w:t>
            </w:r>
          </w:p>
        </w:tc>
      </w:tr>
      <w:tr w14:paraId="5CBE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1"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04FC87E5">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6B9C091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持《外国人永久居留身份证》的外籍人员随迁子女（含未成年的持证人本人）</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64E0013D">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0278D47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《外国人永久居留身份证》、子女出生证等</w:t>
            </w:r>
          </w:p>
        </w:tc>
      </w:tr>
      <w:tr w14:paraId="5BC0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81"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16AFEFAB">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6FEB4D9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台胞子女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11FD456C">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36BCD1A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父或母的《台湾居民来往大陆通行证》或《中华人民共和国台湾居民居住证》等</w:t>
            </w:r>
          </w:p>
          <w:p w14:paraId="2D92A77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适龄儿童出生证、《台湾居民来往大陆通行证》或《中华人民共和国台湾居民居住证》等</w:t>
            </w:r>
          </w:p>
        </w:tc>
      </w:tr>
      <w:tr w14:paraId="42D5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4"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20231202">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4A058F9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有突出贡献的港、澳人士的适龄子女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143012C4">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10DB35E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广州市荣誉市民证书、本人身份证、《港澳居民来往内地通行证》或《中华人民共和国港澳居民居住证》等</w:t>
            </w:r>
          </w:p>
        </w:tc>
      </w:tr>
      <w:tr w14:paraId="6520A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964" w:type="dxa"/>
            <w:vMerge w:val="continue"/>
            <w:tcBorders>
              <w:top w:val="single" w:color="auto" w:sz="4" w:space="0"/>
              <w:left w:val="single" w:color="auto" w:sz="4" w:space="0"/>
              <w:bottom w:val="single" w:color="auto" w:sz="4" w:space="0"/>
              <w:right w:val="single" w:color="auto" w:sz="4" w:space="0"/>
            </w:tcBorders>
            <w:noWrap w:val="0"/>
            <w:vAlign w:val="center"/>
          </w:tcPr>
          <w:p w14:paraId="47349F23">
            <w:pPr>
              <w:spacing w:line="0" w:lineRule="atLeast"/>
              <w:rPr>
                <w:rFonts w:hint="default" w:ascii="Times New Roman" w:hAnsi="Times New Roman" w:eastAsia="仿宋_GB2312" w:cs="Times New Roman"/>
                <w:color w:val="auto"/>
                <w:sz w:val="24"/>
                <w:highlight w:val="none"/>
              </w:rPr>
            </w:pPr>
          </w:p>
        </w:tc>
        <w:tc>
          <w:tcPr>
            <w:tcW w:w="3118" w:type="dxa"/>
            <w:tcBorders>
              <w:top w:val="single" w:color="auto" w:sz="4" w:space="0"/>
              <w:left w:val="single" w:color="auto" w:sz="4" w:space="0"/>
              <w:bottom w:val="single" w:color="auto" w:sz="4" w:space="0"/>
              <w:right w:val="single" w:color="auto" w:sz="4" w:space="0"/>
            </w:tcBorders>
            <w:noWrap w:val="0"/>
            <w:vAlign w:val="center"/>
          </w:tcPr>
          <w:p w14:paraId="2BD8769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驻穗领事馆等外交人员的适龄子女</w:t>
            </w:r>
          </w:p>
        </w:tc>
        <w:tc>
          <w:tcPr>
            <w:tcW w:w="659" w:type="dxa"/>
            <w:vMerge w:val="continue"/>
            <w:tcBorders>
              <w:top w:val="single" w:color="auto" w:sz="4" w:space="0"/>
              <w:left w:val="single" w:color="auto" w:sz="4" w:space="0"/>
              <w:bottom w:val="single" w:color="auto" w:sz="4" w:space="0"/>
              <w:right w:val="single" w:color="auto" w:sz="4" w:space="0"/>
            </w:tcBorders>
            <w:noWrap w:val="0"/>
            <w:vAlign w:val="center"/>
          </w:tcPr>
          <w:p w14:paraId="4E3BCAB7">
            <w:pPr>
              <w:spacing w:line="0" w:lineRule="atLeast"/>
              <w:rPr>
                <w:rFonts w:hint="default" w:ascii="Times New Roman" w:hAnsi="Times New Roman" w:eastAsia="仿宋_GB2312" w:cs="Times New Roman"/>
                <w:color w:val="auto"/>
                <w:sz w:val="24"/>
                <w:highlight w:val="none"/>
              </w:rPr>
            </w:pPr>
          </w:p>
        </w:tc>
        <w:tc>
          <w:tcPr>
            <w:tcW w:w="4902" w:type="dxa"/>
            <w:tcBorders>
              <w:top w:val="single" w:color="auto" w:sz="4" w:space="0"/>
              <w:left w:val="single" w:color="auto" w:sz="4" w:space="0"/>
              <w:bottom w:val="single" w:color="auto" w:sz="4" w:space="0"/>
              <w:right w:val="single" w:color="auto" w:sz="4" w:space="0"/>
            </w:tcBorders>
            <w:noWrap w:val="0"/>
            <w:vAlign w:val="center"/>
          </w:tcPr>
          <w:p w14:paraId="66D8EDAB">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监护人的工作证件、外交护照、已有的其他相关证照或市政府外办函件等。</w:t>
            </w:r>
          </w:p>
        </w:tc>
      </w:tr>
    </w:tbl>
    <w:p w14:paraId="4B55FC1B">
      <w:pPr>
        <w:spacing w:line="560" w:lineRule="exact"/>
        <w:rPr>
          <w:rFonts w:hint="default" w:ascii="Times New Roman" w:hAnsi="Times New Roman" w:eastAsia="方正小标宋简体" w:cs="Times New Roman"/>
          <w:color w:val="auto"/>
          <w:szCs w:val="21"/>
          <w:highlight w:val="none"/>
        </w:rPr>
      </w:pPr>
    </w:p>
    <w:p w14:paraId="7C952752">
      <w:pPr>
        <w:adjustRightInd w:val="0"/>
        <w:snapToGrid w:val="0"/>
        <w:spacing w:line="440" w:lineRule="exact"/>
        <w:rPr>
          <w:rFonts w:hint="default" w:ascii="Times New Roman" w:hAnsi="Times New Roman" w:eastAsia="楷体_GB2312" w:cs="Times New Roman"/>
          <w:color w:val="auto"/>
          <w:sz w:val="28"/>
          <w:szCs w:val="28"/>
          <w:highlight w:val="none"/>
        </w:rPr>
      </w:pPr>
      <w:r>
        <w:rPr>
          <w:rFonts w:hint="default" w:ascii="Times New Roman" w:hAnsi="Times New Roman" w:eastAsia="楷体_GB2312" w:cs="Times New Roman"/>
          <w:color w:val="auto"/>
          <w:sz w:val="28"/>
          <w:szCs w:val="28"/>
          <w:highlight w:val="none"/>
        </w:rPr>
        <w:t>备注：</w:t>
      </w:r>
    </w:p>
    <w:p w14:paraId="26EC4AE1">
      <w:pPr>
        <w:adjustRightInd w:val="0"/>
        <w:snapToGrid w:val="0"/>
        <w:spacing w:line="440" w:lineRule="exact"/>
        <w:rPr>
          <w:rFonts w:hint="default" w:ascii="Times New Roman" w:hAnsi="Times New Roman" w:eastAsia="楷体_GB2312" w:cs="Times New Roman"/>
          <w:color w:val="auto"/>
          <w:sz w:val="28"/>
          <w:szCs w:val="28"/>
          <w:highlight w:val="none"/>
        </w:rPr>
      </w:pPr>
      <w:r>
        <w:rPr>
          <w:rFonts w:hint="default" w:ascii="Times New Roman" w:hAnsi="Times New Roman" w:eastAsia="楷体_GB2312" w:cs="Times New Roman"/>
          <w:color w:val="auto"/>
          <w:sz w:val="28"/>
          <w:szCs w:val="28"/>
          <w:highlight w:val="none"/>
          <w:lang w:val="en-US" w:eastAsia="zh-CN"/>
        </w:rPr>
        <w:t xml:space="preserve">    </w:t>
      </w:r>
      <w:r>
        <w:rPr>
          <w:rFonts w:hint="default" w:ascii="Times New Roman" w:hAnsi="Times New Roman" w:eastAsia="楷体_GB2312" w:cs="Times New Roman"/>
          <w:color w:val="auto"/>
          <w:sz w:val="28"/>
          <w:szCs w:val="28"/>
          <w:highlight w:val="none"/>
        </w:rPr>
        <w:t>1.所有外文的佐证材料均需附中文翻译公证。</w:t>
      </w:r>
    </w:p>
    <w:p w14:paraId="4B8FE459">
      <w:pPr>
        <w:adjustRightInd w:val="0"/>
        <w:snapToGrid w:val="0"/>
        <w:spacing w:line="440" w:lineRule="exact"/>
        <w:rPr>
          <w:rFonts w:hint="default" w:ascii="Times New Roman" w:hAnsi="Times New Roman" w:eastAsia="楷体_GB2312" w:cs="Times New Roman"/>
          <w:color w:val="auto"/>
          <w:sz w:val="28"/>
          <w:szCs w:val="28"/>
          <w:highlight w:val="none"/>
        </w:rPr>
      </w:pPr>
      <w:r>
        <w:rPr>
          <w:rFonts w:hint="default" w:ascii="Times New Roman" w:hAnsi="Times New Roman" w:eastAsia="楷体_GB2312" w:cs="Times New Roman"/>
          <w:color w:val="auto"/>
          <w:sz w:val="28"/>
          <w:szCs w:val="28"/>
          <w:highlight w:val="none"/>
          <w:lang w:val="en-US" w:eastAsia="zh-CN"/>
        </w:rPr>
        <w:t xml:space="preserve">    </w:t>
      </w:r>
      <w:r>
        <w:rPr>
          <w:rFonts w:hint="default" w:ascii="Times New Roman" w:hAnsi="Times New Roman" w:eastAsia="楷体_GB2312" w:cs="Times New Roman"/>
          <w:color w:val="auto"/>
          <w:sz w:val="28"/>
          <w:szCs w:val="28"/>
          <w:highlight w:val="none"/>
        </w:rPr>
        <w:t>2.其他特殊情况由区以上教育行政部门根据有关政策确定。</w:t>
      </w:r>
    </w:p>
    <w:p w14:paraId="7EB3C73F">
      <w:pPr>
        <w:adjustRightInd w:val="0"/>
        <w:snapToGrid w:val="0"/>
        <w:spacing w:line="440" w:lineRule="exact"/>
        <w:rPr>
          <w:rFonts w:hint="default" w:ascii="Times New Roman" w:hAnsi="Times New Roman" w:eastAsia="楷体_GB2312" w:cs="Times New Roman"/>
          <w:color w:val="auto"/>
          <w:sz w:val="28"/>
          <w:szCs w:val="28"/>
          <w:highlight w:val="none"/>
        </w:rPr>
      </w:pPr>
      <w:r>
        <w:rPr>
          <w:rFonts w:hint="default" w:ascii="Times New Roman" w:hAnsi="Times New Roman" w:eastAsia="楷体_GB2312" w:cs="Times New Roman"/>
          <w:color w:val="auto"/>
          <w:sz w:val="28"/>
          <w:szCs w:val="28"/>
          <w:highlight w:val="none"/>
          <w:lang w:val="en-US" w:eastAsia="zh-CN"/>
        </w:rPr>
        <w:t xml:space="preserve">    </w:t>
      </w:r>
      <w:r>
        <w:rPr>
          <w:rFonts w:hint="default" w:ascii="Times New Roman" w:hAnsi="Times New Roman" w:eastAsia="楷体_GB2312" w:cs="Times New Roman"/>
          <w:color w:val="auto"/>
          <w:sz w:val="28"/>
          <w:szCs w:val="28"/>
          <w:highlight w:val="none"/>
        </w:rPr>
        <w:t>3.因上级政策调整等导致政策性照顾学生对象或佐证材料发生变化时，由教育行政部门另行补充发文。</w:t>
      </w:r>
    </w:p>
    <w:p w14:paraId="5D9D229C">
      <w:pPr>
        <w:adjustRightInd w:val="0"/>
        <w:snapToGrid w:val="0"/>
        <w:spacing w:line="440" w:lineRule="exact"/>
        <w:rPr>
          <w:rFonts w:hint="default" w:ascii="Times New Roman" w:hAnsi="Times New Roman" w:eastAsia="楷体_GB2312" w:cs="Times New Roman"/>
          <w:color w:val="auto"/>
          <w:sz w:val="28"/>
          <w:szCs w:val="28"/>
          <w:highlight w:val="none"/>
        </w:rPr>
      </w:pPr>
      <w:r>
        <w:rPr>
          <w:rFonts w:hint="default" w:ascii="Times New Roman" w:hAnsi="Times New Roman" w:eastAsia="楷体_GB2312" w:cs="Times New Roman"/>
          <w:color w:val="auto"/>
          <w:sz w:val="28"/>
          <w:szCs w:val="28"/>
          <w:highlight w:val="none"/>
          <w:lang w:val="en-US" w:eastAsia="zh-CN"/>
        </w:rPr>
        <w:t xml:space="preserve">    </w:t>
      </w:r>
      <w:r>
        <w:rPr>
          <w:rFonts w:hint="default" w:ascii="Times New Roman" w:hAnsi="Times New Roman" w:eastAsia="楷体_GB2312" w:cs="Times New Roman"/>
          <w:color w:val="auto"/>
          <w:sz w:val="28"/>
          <w:szCs w:val="28"/>
          <w:highlight w:val="none"/>
        </w:rPr>
        <w:t>4.杜绝弄虚作假，一经发现，取消其申请资格，并依法追究相关责任。</w:t>
      </w:r>
    </w:p>
    <w:p w14:paraId="23A93B3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241BC7"/>
    <w:rsid w:val="01241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next w:val="1"/>
    <w:unhideWhenUsed/>
    <w:qFormat/>
    <w:uiPriority w:val="99"/>
    <w:pPr>
      <w:widowControl w:val="0"/>
      <w:jc w:val="both"/>
    </w:pPr>
    <w:rPr>
      <w:rFonts w:hint="eastAsia" w:ascii="Calibri" w:hAnsi="Calibri" w:eastAsia="宋体" w:cs="Times New Roman"/>
      <w:kern w:val="2"/>
      <w:sz w:val="32"/>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2026-04-28T07:15:00Z</dcterms:created>
  <dc:creator>李厚泽</dc:creator>
  <cp:lastModifiedBy>李厚泽</cp:lastModifiedBy>
  <dcterms:modified xsi:type="dcterms:W3CDTF">2026-04-28T07:16:04Z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F89669DC1C394047B762930B1D5A3C95_11</vt:lpwstr>
  </property>
  <property fmtid="{D5CDD505-2E9C-101B-9397-08002B2CF9AE}" pid="4" name="KSOTemplateDocerSaveRecord">
    <vt:lpwstr>eyJoZGlkIjoiMzA2ODg4NDhiOTZmNzc4ZjBkZjhlMjE5YTE3OTlkN2UiLCJ1c2VySWQiOiI0MTMxNjI1MDAifQ==</vt:lpwstr>
  </property>
</Properties>
</file>