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系统测试报告</w:t>
      </w:r>
    </w:p>
    <w:p>
      <w:pPr>
        <w:jc w:val="center"/>
      </w:pPr>
      <w:r>
        <w:rPr>
          <w:color w:val="000000"/>
          <w:sz w:val="24"/>
        </w:rPr>
        <w:t>数据结构智能出卷系统项目材料</w:t>
      </w:r>
    </w:p>
    <w:p>
      <w:pPr>
        <w:jc w:val="center"/>
      </w:pPr>
      <w:r>
        <w:t>编制日期：2026 年 9 月    项目小组：项天聪、杨烨锋、张宸赫</w:t>
      </w:r>
    </w:p>
    <w:p/>
    <w:p>
      <w:pPr>
        <w:pStyle w:val="Heading1"/>
      </w:pPr>
      <w:r>
        <w:t>文档说明</w:t>
      </w:r>
    </w:p>
    <w:p>
      <w:r>
        <w:t>本报告记录数据结构智能出卷系统的测试范围、测试策略、核心用例与验收结论。测试重点围绕课程材料到试卷导出的闭环，以及“确认范围后才能组卷、草稿接受后才能入题库”两条关键业务规则。</w:t>
      </w:r>
    </w:p>
    <w:p>
      <w:pPr>
        <w:pStyle w:val="Heading1"/>
      </w:pPr>
      <w:r>
        <w:t>测试目标与范围</w:t>
      </w:r>
    </w:p>
    <w:p>
      <w:r>
        <w:t>测试覆盖后端业务服务、HTTP 接口契约、前端生产构建与人工功能走查。后端自动化测试集中在考查范围构建、试卷装配、题目草稿保护和范围接口；前端构建用于检查 TypeScript 编译与 Vite 打包链路。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92"/>
        <w:gridCol w:w="3192"/>
        <w:gridCol w:w="3192"/>
      </w:tblGrid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类别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测试对象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验证重点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单元测试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ScopeBuilder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仅保留命中知识点与祖先链，范围节点层级完整。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单元测试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PaperAssembler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未确认范围禁止组卷；题目去重、题型分布与总分归一化正确。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单元测试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DraftService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草稿仅 pending 可修改；接受后生成正式题目；拒绝后不入题库。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接口测试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考查范围 API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创建、读取、更新、确认等接口的状态转换。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构建检查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React 前端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TypeScript 类型检查与生产资源构建。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人工走查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教师工作流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材料、知识树、题库、组卷、草稿、试卷页面的可用性。</w:t>
            </w:r>
          </w:p>
        </w:tc>
      </w:tr>
    </w:tbl>
    <w:p/>
    <w:p>
      <w:pPr>
        <w:pStyle w:val="Heading1"/>
      </w:pPr>
      <w:r>
        <w:t>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788"/>
        <w:gridCol w:w="4788"/>
      </w:tblGrid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项目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环境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操作系统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Windows 10 或 Windows 11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后端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Python 3.11 虚拟环境，FastAPI，SQLite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前端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Node.js LTS，React 18，Vite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浏览器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Microsoft Edge 或 Chrome 最新稳定版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数据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项目 backend/data、backend/uploads 本地测试数据；不覆盖现有数据</w:t>
            </w:r>
          </w:p>
        </w:tc>
      </w:tr>
    </w:tbl>
    <w:p/>
    <w:p>
      <w:pPr>
        <w:pStyle w:val="Heading1"/>
      </w:pPr>
      <w:r>
        <w:t>核心测试用例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92"/>
        <w:gridCol w:w="3192"/>
        <w:gridCol w:w="3192"/>
      </w:tblGrid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编号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测试步骤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预期结果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T01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提交出卷需求，未确认考查范围即调用组卷。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服务返回 scope_not_confirmed，系统不创建试卷。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T02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确认范围后按题型分布组卷。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从题库选择不重复题目，ExamQuestion 记录排序与分值。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T03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题库指定题型不足。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生成 pending 题目草稿并提示教师，不将草稿直接写入 questions。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T04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教师接受待审核草稿。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草稿状态更新，正式题库出现对应题目。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T05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教师拒绝待审核草稿。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草稿保留 rejected 状态，不参与正式题库与组卷。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T06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修改试卷题目分值或数量后执行校验。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返回总分、题量、题型分布的逐项校验结果。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T07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上传支持格式课程材料。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保存材料记录、文件路径、文件类型及解析结果。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T08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执行前端生产构建。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生成可部署的静态资源，发现类型或依赖问题时构建失败。</w:t>
            </w:r>
          </w:p>
        </w:tc>
      </w:tr>
    </w:tbl>
    <w:p/>
    <w:p>
      <w:pPr>
        <w:pStyle w:val="Heading1"/>
      </w:pPr>
      <w:r>
        <w:t>执行记录与结果判定</w:t>
      </w:r>
    </w:p>
    <w:p>
      <w:r>
        <w:t>仓库提供 pytest 用例，覆盖 test_scope_builder.py、test_scope_api.py、test_paper_assembler.py、test_generate_guard.py 与 test_draft_service.py。验收时应在 backend 目录执行 pytest -v；涉及前端变更时在 frontend 目录执行 npm run build。若环境尚未安装依赖、未配置模型或网络受限，应先记录环境原因，再恢复依赖后复测。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92"/>
        <w:gridCol w:w="3192"/>
        <w:gridCol w:w="3192"/>
      </w:tblGrid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验收项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判定标准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结果记录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后端规则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所有 pytest 用例通过，关键状态转换符合预期。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执行 pytest 全量用例，11 项通过，0 项失败。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前端构建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npm run build 成功生成 dist。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执行 TypeScript 类型检查与 Vite 打包，构建成功并生成生产资源。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人工走查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主流程无阻塞、提示清晰、导出文件可打开。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按教师视角完成材料、知识树、需求、范围、组卷、草稿与导出复核。</w:t>
            </w:r>
          </w:p>
        </w:tc>
      </w:tr>
    </w:tbl>
    <w:p/>
    <w:p>
      <w:r>
        <w:t>本轮验证在 Windows 11 环境下完成。后端使用 Python 3.11 虚拟环境安装 requirements.txt 声明的依赖后执行 pytest，覆盖范围构建、范围接口、试卷装配、生成保护与草稿服务五个测试模块，结果为 11 项通过、0 项失败；测试过程中出现的告警来自 SQLAlchemy 对时间获取方式的弃用提示，不影响业务结论。前端在安装 package-lock.json 锁定的依赖后执行生产构建，TypeScript 类型检查与 Vite 打包均成功，输出仅有单个资源包体积超过提示阈值的信息，属于打包优化建议而非构建失败。答辩演示前还按教师视角复核了页面提示与导出结果，主流程可完整走通。</w:t>
      </w:r>
    </w:p>
    <w:p>
      <w:pPr>
        <w:pStyle w:val="Heading1"/>
      </w:pPr>
      <w:r>
        <w:t>缺陷分级与回归原则</w:t>
      </w:r>
    </w:p>
    <w:p>
      <w:r>
        <w:t>阻塞性问题包括无法启动、无法确认范围、未审核草稿进入题库等，必须修复后验收。重要问题包括题型分布或总分错误、材料解析失败等，应在发布前修复并复测。一般问题包括文案、布局与非关键交互，纳入迭代计划。每次修复后至少回归相邻流程，尤其检查范围确认、草稿审核和导出。</w:t>
      </w:r>
    </w:p>
    <w:p>
      <w:pPr>
        <w:pStyle w:val="Heading1"/>
      </w:pPr>
      <w:r>
        <w:t>测试结论</w:t>
      </w:r>
    </w:p>
    <w:p>
      <w:r>
        <w:t>系统的测试设计围绕业务边界而非单纯页面显示展开，重点保护教师审核权和题库质量。通过自动化规则测试、前端构建检查和答辩现场人工演示的组合方式，可验证系统从材料处理到试卷输出的主要链路。</w:t>
      </w:r>
    </w:p>
    <w:p>
      <w:pPr>
        <w:pStyle w:val="Heading1"/>
      </w:pPr>
      <w:r>
        <w:t>测试方法说明</w:t>
      </w:r>
    </w:p>
    <w:p>
      <w:r>
        <w:t>测试采用“规则单测、接口联调、前端构建、人工场景走查”的组合方式。规则单测将 ScopeBuilder、PaperAssembler、DraftService 等关键服务置于可控数据环境中，分别验证范围过滤、范围确认保护、题目去重、分数归一化、题库不足草稿生成和草稿状态转换。接口联调关注 Schema 与 HTTP 响应是否一致，确保页面提交的数据可以完整到达服务层。前端构建检查 TypeScript 类型、模块导入与打包产物，避免仅在开发服务器中偶然可运行的代码进入交付版本。人工场景走查从教师视角完成上传、知识树、题库、组卷、审核和导出，检查页面提示是否能解释业务状态。</w:t>
      </w:r>
    </w:p>
    <w:p>
      <w:pPr>
        <w:pStyle w:val="Heading1"/>
      </w:pPr>
      <w:r>
        <w:t>回归测试清单</w:t>
      </w:r>
    </w:p>
    <w:p>
      <w:r>
        <w:t>每次修改组卷相关代码后，必须复核以下路径：第一，修改范围树节点后确认范围，确认后的 included 状态应被装配服务读取；第二，改变题型分布和总分后组卷，正式题目不得重复，总分必须与需求一致；第三，题库缺口出现时，应只出现 pending 草稿而不增加正式题库数量；第四，接受草稿后题库应增加一题，拒绝草稿后题库不应变化；第五，试卷导出应保留题目顺序、分值和答案选项。每次修改文件解析或知识提取代码后，还应复核材料列表、解析详情和知识树层级，确保材料与知识节点关系没有断裂。</w:t>
      </w:r>
    </w:p>
    <w:p>
      <w:pPr>
        <w:pStyle w:val="Heading1"/>
      </w:pPr>
      <w:r>
        <w:t>测试策略与分层设计</w:t>
      </w:r>
    </w:p>
    <w:p>
      <w:r>
        <w:t>测试分层的目的，是让不同种类的错误在最合适的层级暴露。服务层单测使用构造好的业务数据，验证规则本身是否正确；接口层测试关注状态码、字段与状态转换是否符合契约；前端构建检查关注类型与依赖；人工走查关注页面是否把状态说清楚。四层之间存在依赖关系：如果服务层规则被破坏，接口层和页面层的表现都会异常，因此我们不以外层现象替代对规则的验证，也不以单测通过推断界面可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94"/>
        <w:gridCol w:w="2394"/>
        <w:gridCol w:w="2394"/>
        <w:gridCol w:w="2394"/>
      </w:tblGrid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层级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测试对象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工具与方式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关注问题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规则层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范围构建、试卷装配、草稿服务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自动化单元测试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业务规则与状态机是否正确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接口层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范围与试卷接口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接口测试与请求校验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字段、状态码与错误信息是否一致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构建层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React 与 TypeScript 代码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类型检查与打包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类型错误、依赖缺失与模块引用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体验层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教师端页面与流程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人工走查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提示是否清楚、流程是否可完成</w:t>
            </w:r>
          </w:p>
        </w:tc>
      </w:tr>
    </w:tbl>
    <w:p/>
    <w:p>
      <w:pPr>
        <w:pStyle w:val="Heading1"/>
      </w:pPr>
      <w:r>
        <w:t>详细用例执行记录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15"/>
        <w:gridCol w:w="1915"/>
        <w:gridCol w:w="1915"/>
        <w:gridCol w:w="1915"/>
        <w:gridCol w:w="1915"/>
      </w:tblGrid>
      <w:t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编号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前置条件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操作步骤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预期结果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结论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E01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存在知识树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填写需求后直接请求组卷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返回范围未确认错误，不创建试卷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E02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范围已确认且题库充足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按题型数量执行组卷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试卷题目数量与题型符合需求，无重复题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E03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范围已确认且题库不足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执行组卷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生成待审核草稿并提示缺口题型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E04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存在待审核草稿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执行接受操作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草稿状态更新并写入正式题库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E05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存在待审核草稿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执行拒绝操作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草稿保留拒绝状态，题库数量不变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E06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已生成试卷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修改题目分值后校验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提示总分是否与需求一致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E07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存在已确认范围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调整范围节点后再次组卷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新试卷依据最新范围装配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E08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上传支持格式材料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上传并查看详情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材料记录与解析文本可查看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E09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上传不支持格式材料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尝试上传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返回格式错误提示，不创建材料记录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E10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试卷已生成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导出 DOCX、PDF、TXT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文件可正常打开且内容与预览一致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通过</w:t>
            </w:r>
          </w:p>
        </w:tc>
      </w:tr>
    </w:tbl>
    <w:p/>
    <w:p>
      <w:pPr>
        <w:pStyle w:val="Heading1"/>
      </w:pPr>
      <w:r>
        <w:t>缺陷记录与处理方式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94"/>
        <w:gridCol w:w="2394"/>
        <w:gridCol w:w="2394"/>
        <w:gridCol w:w="2394"/>
      </w:tblGrid>
      <w:t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编号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现象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影响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处理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B01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未确认范围时组卷请求未被拦截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可能产生无依据试卷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在装配服务入口增加状态校验，补充规则单测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B02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部分题型数量不足时未提示缺口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教师无法判断缺题数量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装配结果返回缺口信息并在界面提示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B03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试卷总分与需求不一致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导出试卷不能直接用于考试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按题量归一化分值并处理余数分配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B04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材料删除后知识节点残留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知识树出现无来源节点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删除材料时同步清理关联节点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B05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模型调用异常时页面无提示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教师不知道失败原因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统一异常返回并提示重试或改用手工维护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B06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长标题导出文件名异常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导出文件难以识别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对文件名进行中文安全编码</w:t>
            </w:r>
          </w:p>
        </w:tc>
      </w:tr>
    </w:tbl>
    <w:p/>
    <w:p>
      <w:pPr>
        <w:pStyle w:val="Heading1"/>
      </w:pPr>
      <w:r>
        <w:t>兼容性与易用性观察</w:t>
      </w:r>
    </w:p>
    <w:p>
      <w:r>
        <w:t>在浏览器兼容性方面，页面基于标准前端框架构建，在最新版 Edge 与 Chrome 中布局与交互正常，表格与树控件在常见分辨率下可完整显示，长题干在表格中以省略号呈现并可进入详情编辑。易用性方面，出卷流程以步骤条引导，关键限制以提示条形式出现；材料与题库页面提供空状态说明，说明可以上传材料或手工添加题目；组卷结果页把导出按钮集中在试卷标题行，减少教师寻找操作入口的成本。可改进之处包括：题库筛选条件较多时可以记住上次选择，长表格可以支持列宽自适应，试卷预览可以提供题型分组折叠。</w:t>
      </w:r>
    </w:p>
    <w:p>
      <w:pPr>
        <w:pStyle w:val="Heading1"/>
      </w:pPr>
      <w:r>
        <w:t>验收结论</w:t>
      </w:r>
    </w:p>
    <w:p>
      <w:r>
        <w:t>系统完成了课程设计要求的核心功能，形成了从材料到试卷的闭环，并通过审核机制保证智能内容不直接进入正式数据。测试覆盖了范围确认、组卷、草稿审核与导出等关键路径，前端构建与后端规则测试均可执行。测试报告同时记录了缺陷与改进方向，可作为后续迭代的起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247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chineseCounting"/>
      <w:lvlText w:val="%1."/>
      <w:suff w:val="nothing"/>
      <w:lvlJc w:val="left"/>
      <w:pPr>
        <w:ind w:left="0" w:firstLine="0"/>
      </w:pPr>
    </w:lvl>
    <w:lvl w:ilvl="1">
      <w:start w:val="1"/>
      <w:numFmt w:val="chineseCounting"/>
      <w:lvlText w:val="（%2）"/>
      <w:suff w:val="nothing"/>
      <w:lvlJc w:val="left"/>
      <w:pPr>
        <w:ind w:left="0" w:firstLine="0"/>
      </w:pPr>
    </w:lvl>
    <w:lvl w:ilvl="2">
      <w:start w:val="1"/>
      <w:numFmt w:val="decimal"/>
      <w:lvlText w:val="%3."/>
      <w:suff w:val="nothing"/>
      <w:lvlJc w:val="left"/>
      <w:pPr>
        <w:ind w:left="0" w:firstLine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ilvl w:val="0"/>
        <w:numId w:val="90"/>
      </w:numPr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90"/>
      </w:numPr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90"/>
      </w:numPr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