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部署与用户使用手册</w:t>
      </w:r>
    </w:p>
    <w:p>
      <w:pPr>
        <w:jc w:val="center"/>
      </w:pPr>
      <w:r>
        <w:rPr>
          <w:color w:val="000000"/>
          <w:sz w:val="24"/>
        </w:rPr>
        <w:t>数据结构智能出卷系统项目材料</w:t>
      </w:r>
    </w:p>
    <w:p>
      <w:pPr>
        <w:jc w:val="center"/>
      </w:pPr>
      <w:r>
        <w:t>编制日期：2026 年 9 月    项目小组：项天聪、杨烨锋、张宸赫</w:t>
      </w:r>
    </w:p>
    <w:p/>
    <w:p>
      <w:pPr>
        <w:pStyle w:val="Heading1"/>
      </w:pPr>
      <w:r>
        <w:t>文档说明</w:t>
      </w:r>
    </w:p>
    <w:p>
      <w:r>
        <w:t>本手册面向本地部署人员和教师用户，说明系统安装启动、配置方式、日常使用流程、常见问题及数据保护事项。首次部署需分别启动后端与前端。</w:t>
      </w:r>
    </w:p>
    <w:p>
      <w:pPr>
        <w:pStyle w:val="Heading1"/>
      </w:pPr>
      <w:r>
        <w:t>运行环境与依赖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组件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建议版本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操作系统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Windows 10 或 Windows 11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示例命令使用 PowerShell。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3.11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用于 FastAPI 服务和测试。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Node.js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LTS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用于 Vite 前端开发与构建。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浏览器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Chrome 或 Edge 最新版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访问教师端页面。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可选 AI 配置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DeepSeek API Key</w:t>
            </w:r>
          </w:p>
        </w:tc>
        <w:tc>
          <w:tcPr>
            <w:tcW w:type="dxa" w:w="527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知识提取、教学助手和生成草稿时需要。</w:t>
            </w:r>
          </w:p>
        </w:tc>
      </w:tr>
    </w:tbl>
    <w:p/>
    <w:p>
      <w:pPr>
        <w:pStyle w:val="Heading1"/>
      </w:pPr>
      <w:r>
        <w:t>首次安装</w:t>
      </w:r>
    </w:p>
    <w:p>
      <w:pPr>
        <w:pStyle w:val="Heading2"/>
      </w:pPr>
      <w:r>
        <w:t>后端安装与配置</w:t>
      </w:r>
    </w:p>
    <w:p>
      <w:r>
        <w:t>在 PowerShell 中进入 backend 目录，创建 Python 3.11 虚拟环境、安装依赖，并以 .env.example 创建本地配置文件。不要把 .env 中的密钥提交到仓库。</w:t>
      </w:r>
    </w:p>
    <w:p>
      <w:r>
        <w:t>cd backend</w:t>
        <w:br/>
        <w:t>py -3.11 -m venv .venv</w:t>
        <w:br/>
        <w:t>New-Item -ItemType Directory -Force data, uploads</w:t>
        <w:br/>
        <w:t>if (-not (Test-Path .env)) { Copy-Item .env.example .env }</w:t>
        <w:br/>
        <w:t>.\.venv\Scripts\python.exe -m pip install -r requirements.txt</w:t>
      </w:r>
    </w:p>
    <w:p>
      <w:r>
        <w:t>编辑 backend/.env，设置 DEEPSEEK_API_KEY。若只进行题库、范围和既有数据演示，部分 AI 功能可暂不使用，但知识提取与教学助手需要有效密钥。</w:t>
      </w:r>
    </w:p>
    <w:p>
      <w:pPr>
        <w:pStyle w:val="Heading2"/>
      </w:pPr>
      <w:r>
        <w:t>前端安装</w:t>
      </w:r>
    </w:p>
    <w:p>
      <w:r>
        <w:t>cd frontend</w:t>
        <w:br/>
        <w:t>npm install</w:t>
      </w:r>
    </w:p>
    <w:p>
      <w:pPr>
        <w:pStyle w:val="Heading1"/>
      </w:pPr>
      <w:r>
        <w:t>启动系统</w:t>
      </w:r>
    </w:p>
    <w:p>
      <w:r>
        <w:t>终端一启动后端：</w:t>
        <w:br/>
        <w:t>cd backend</w:t>
        <w:br/>
        <w:t>.\.venv\Scripts\python.exe -m uvicorn app.main:app --reload --port 8000</w:t>
        <w:br/>
        <w:br/>
        <w:t>终端二启动前端：</w:t>
        <w:br/>
        <w:t>cd frontend</w:t>
        <w:br/>
        <w:t>npm run dev</w:t>
        <w:br/>
        <w:br/>
        <w:t>浏览器访问 http://localhost:5173。后端健康检查地址为 http://localhost:8000/api/health。</w:t>
      </w:r>
    </w:p>
    <w:p>
      <w:pPr>
        <w:pStyle w:val="Heading1"/>
      </w:pPr>
      <w:r>
        <w:t>教师使用流程</w:t>
      </w:r>
    </w:p>
    <w:p>
      <w:pPr>
        <w:pStyle w:val="Heading2"/>
      </w:pPr>
      <w:r>
        <w:t>上传并管理课程材料</w:t>
      </w:r>
    </w:p>
    <w:p>
      <w:r>
        <w:t>在“材料”页面上传讲义、课件、大纲等文件，系统支持 pptx、docx、pdf、md。上传完成后可查看材料信息和解析内容，并可进入对应知识树。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12000" cy="38581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58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材料与知识树页面</w:t>
      </w:r>
    </w:p>
    <w:p>
      <w:pPr>
        <w:pStyle w:val="Heading2"/>
      </w:pPr>
      <w:r>
        <w:t>提取和维护知识树</w:t>
      </w:r>
    </w:p>
    <w:p>
      <w:r>
        <w:t>对解析成功的材料执行知识树提取。知识节点按章、节、知识点组织，教师可核对定义、重点与解题步骤。知识树既服务备课，也为后续范围确认提供可解释依据。</w:t>
      </w:r>
    </w:p>
    <w:p>
      <w:pPr>
        <w:pStyle w:val="Heading2"/>
      </w:pPr>
      <w:r>
        <w:t>维护题库</w:t>
      </w:r>
    </w:p>
    <w:p>
      <w:r>
        <w:t>在“题库”页面可按题型、难度和关键词筛选题目，也可新增、编辑或批量导入。正式题库只保存教师确认后的题目。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850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5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题库筛选与维护页面</w:t>
      </w:r>
    </w:p>
    <w:p>
      <w:pPr>
        <w:pStyle w:val="Heading2"/>
      </w:pPr>
      <w:r>
        <w:t>组卷与范围审核</w:t>
      </w:r>
    </w:p>
    <w:p>
      <w:r>
        <w:t>进入“组卷”页面，填写试卷标题、考试范围、时长、总分、题型分布和难度分布。系统先生成考查范围树，教师可修改节点内容、勾选是否纳入或新增节点。点击“确认考查范围”后，才可进入组卷。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2805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805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出卷需求和考查范围审核</w:t>
      </w:r>
    </w:p>
    <w:p>
      <w:pPr>
        <w:pStyle w:val="Heading2"/>
      </w:pPr>
      <w:r>
        <w:t>处理题目草稿与导出试卷</w:t>
      </w:r>
    </w:p>
    <w:p>
      <w:r>
        <w:t>若题库不足，系统在结果页显示题型缺口并写入“草稿”页面。教师应先查看题干、答案和解析，再选择接受或拒绝。接受后的题目进入正式题库，可在后续组卷中使用。试卷预览页面支持查看、校验、评价和导出 DOCX、PDF、TXT。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051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51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组卷结果和草稿提醒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92000" cy="31596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159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000000"/>
          <w:sz w:val="24"/>
        </w:rPr>
        <w:t>图 试卷预览和导出</w:t>
      </w:r>
    </w:p>
    <w:p>
      <w:pPr>
        <w:pStyle w:val="Heading1"/>
      </w:pPr>
      <w:r>
        <w:t>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88"/>
        <w:gridCol w:w="4788"/>
      </w:tblGrid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现象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原因与处理方式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前端页面无数据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确认后端服务已在 8000 端口启动，检查浏览器访问的地址为 5173。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AI 提取或教学助手报错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检查 backend/.env 中 DEEPSEEK_API_KEY 是否配置有效，检查网络连通性。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无法组卷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先在组卷页面确认考查范围；未确认范围是业务保护条件。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题库不足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前往草稿页面审核候选题，或手动新增和批量导入题目。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PowerShell 无法激活虚拟环境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无需激活，直接使用 .venv\Scripts\python.exe 执行命令。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需要重新初始化数据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先备份 backend/data、backend/uploads 和 backend/checkpoints.db，避免误删已有业务数据。</w:t>
            </w:r>
          </w:p>
        </w:tc>
      </w:tr>
    </w:tbl>
    <w:p/>
    <w:p>
      <w:pPr>
        <w:pStyle w:val="Heading1"/>
      </w:pPr>
      <w:r>
        <w:t>停止与维护</w:t>
      </w:r>
    </w:p>
    <w:p>
      <w:r>
        <w:t>开发模式下在两个终端分别按 Ctrl+C 停止前后端。部署维护时，数据库文件位于 backend/data/ds_teaching.db，向量数据位于 backend/data/chroma，上传文件位于 backend/uploads，LangGraph 检查点位于 backend/checkpoints.db。升级代码前应备份这些目录和文件。</w:t>
      </w:r>
    </w:p>
    <w:p>
      <w:pPr>
        <w:pStyle w:val="Heading1"/>
      </w:pPr>
      <w:r>
        <w:t>教师日常操作建议</w:t>
      </w:r>
    </w:p>
    <w:p>
      <w:r>
        <w:t>建议教师按课程章节逐步维护材料与知识树，而不是在临近考试时一次性导入全部资料。每次上传后先检查解析文本和知识树，再补充题库中的常用题型。填写出卷需求时，应把教学进度、重点说明和题型数量写得具体，例如注明“二叉树遍历和排序算法”，这样系统提出的范围更容易审核。对草稿题目，应重点检查题干是否明确、答案是否唯一、难度是否符合课程阶段、解析是否与知识点对应。导出试卷前，应在预览页再次确认总分、时长、题型数量和题目顺序。</w:t>
      </w:r>
    </w:p>
    <w:p>
      <w:pPr>
        <w:pStyle w:val="Heading1"/>
      </w:pPr>
      <w:r>
        <w:t>数据备份与恢复建议</w:t>
      </w:r>
    </w:p>
    <w:p>
      <w:r>
        <w:t>建议在阶段性组卷、系统升级或批量导入前备份本地数据。最小备份集合包括 SQLite 数据库文件、ChromaDB 目录、uploads 目录和 checkpoints.db。恢复时应先停止后端服务，再将备份文件还原到对应位置，启动服务后检查健康接口和材料、题库、试卷列表是否正常。若只需要迁移题库，可优先使用系统批量导入导出功能，不建议直接编辑数据库文件。发生模型服务不可用时，教师仍可进行材料、题库和试卷管理，并在模型恢复后重新执行知识提取或草稿建议。</w:t>
      </w:r>
    </w:p>
    <w:p>
      <w:pPr>
        <w:pStyle w:val="Heading1"/>
      </w:pPr>
      <w:r>
        <w:t>依赖清单与环境要求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类别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组件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说明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 3.11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运行 FastAPI 服务，建议使用虚拟环境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FastAPI 与 Uvicorn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提供接口与本地开发服务器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SQLAlchemy 与 aiosqlite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异步数据访问与 SQLite 驱动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Pydantic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请求与响应字段校验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python-docx、python-pptx、PyMuPDF、openpyxl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材料解析与文档、表格处理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chromadb 与 sentence-transformers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向量存储与本地中文向量模型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openai 客户端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调用兼容接口的大模型服务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Node.js 长期支持版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安装依赖与运行构建脚本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React、TypeScript、Vite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页面开发与打包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Ant Design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界面组件库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前端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Zustand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轻量状态管理</w:t>
            </w:r>
          </w:p>
        </w:tc>
      </w:tr>
    </w:tbl>
    <w:p/>
    <w:p>
      <w:pPr>
        <w:pStyle w:val="Heading1"/>
      </w:pPr>
      <w:r>
        <w:t>配置项说明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配置项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含义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默认值或建议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database_url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业务数据库连接地址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指向本地 data 目录下的 SQLite 文件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upload_dir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上传文件保存目录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相对后端运行目录的 uploads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chroma_persist_dir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向量数据持久化目录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指向本地 data 目录下的向量目录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deepseek_api_key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大模型服务密钥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留空则智能功能不可用，需在本地配置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deepseek_base_url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大模型服务地址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默认指向服务方提供的兼容接口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deepseek_model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调用的对话模型名称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按服务方可用模型填写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local_embedding_model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本地中文向量模型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首次使用需要下载，下载后缓存在本机</w:t>
            </w:r>
          </w:p>
        </w:tc>
      </w:tr>
    </w:tbl>
    <w:p/>
    <w:p>
      <w:pPr>
        <w:pStyle w:val="Heading1"/>
      </w:pPr>
      <w:r>
        <w:t>启动与连通性验证</w:t>
      </w:r>
    </w:p>
    <w:p>
      <w:r>
        <w:t>后端启动后，先在浏览器访问健康检查地址，应返回服务正常的状态信息，这一步用于排除端口占用与启动失败。随后启动前端开发服务器，访问首页应看到工作台页面与侧栏导航；若页面统计数字为初始值或提示无数据，说明前端已连通后端，可以开始上传材料。若前端出现接口错误提示，先确认后端是否仍在运行，再确认前端代理配置指向的后端端口与启动参数一致。首次使用智能功能时，模型下载与接口调用会带来额外等待，属于正常现象。</w:t>
      </w:r>
    </w:p>
    <w:p>
      <w:pPr>
        <w:pStyle w:val="Heading1"/>
      </w:pPr>
      <w:r>
        <w:t>教师操作分步手册</w:t>
      </w:r>
    </w:p>
    <w:p>
      <w:r>
        <w:t>第一步，准备材料。进入材料页面，选择材料类型后上传课件或讲义，等待上传完成，在列表中确认文件类型与页数是否正确。第二步，整理知识。进入知识树页面，选择刚上传的材料并执行提取，随后在左侧树中逐章检查，右侧可修改名称、定义、关键术语、教学重点与解题步骤。第三步，补充题目。进入题库页面，按题型与难度检查现有题目，必要时手工新增或批量导入，确保章节字段与知识树一致。</w:t>
      </w:r>
    </w:p>
    <w:p>
      <w:r>
        <w:t>第四步，填写需求。进入组卷页面，输入试卷名称、考试时长与总分，说明教学进度、考试范围与重点考查方向，填写各题型数量与难度分布，需要限定材料时选择参与材料。第五步，审核范围。点击生成后系统给出待确认范围树，逐项勾选需要考查的节点，可新增节点或修改节点信息；界面会提示未确认范围不能组卷。第六步，生成与审核。确认范围后执行组卷，查看题目列表与总分是否正确；若提示某题型数量不足，进入草稿页面审核候选题，接受需要的题目后重新组卷。第七步，导出试卷。在试卷预览页面调整题目顺序与分值，执行校验，然后选择需要的格式导出，并确认导出的文件内容与预览一致。</w:t>
      </w:r>
    </w:p>
    <w:p>
      <w:pPr>
        <w:pStyle w:val="Heading1"/>
      </w:pPr>
      <w:r>
        <w:t>常见故障排查表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92"/>
        <w:gridCol w:w="3192"/>
        <w:gridCol w:w="3192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现象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可能原因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000000"/>
                <w:sz w:val="24"/>
              </w:rPr>
              <w:t>处理方式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页面一直处于加载状态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后端未启动或端口不一致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确认后端服务运行，检查代理端口配置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上传后列表没有新增记录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文件格式不被支持或写入失败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改用支持格式，确认上传目录可写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提取知识树没有结果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材料解析文本为空或模型不可用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打开材料详情确认解析文本，检查密钥与网络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组卷按钮无响应或提示错误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考查范围尚未确认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回到范围审核步骤完成确认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试卷总分与预期不一致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题量或分值被修改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在预览页面执行校验并调整分值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某题型数量不足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题库中可用题目不够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在草稿页面审核候选题或补充题库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教学助手无回复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模型接口不可用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检查密钥、网络与服务状态后重试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导出文件无法打开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导出过程被中断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24"/>
              </w:rPr>
              <w:t>重新导出并确认磁盘空间充足</w:t>
            </w:r>
          </w:p>
        </w:tc>
      </w:tr>
    </w:tbl>
    <w:p/>
    <w:p>
      <w:pPr>
        <w:pStyle w:val="Heading1"/>
      </w:pPr>
      <w:r>
        <w:t>维护与升级计划</w:t>
      </w:r>
    </w:p>
    <w:p>
      <w:r>
        <w:t>日常维护包括定期备份数据库、上传目录、向量目录与检查点文件，清理不再使用的材料，核对题库题目与课程章节的一致性。升级前先备份数据，再拉取或替换代码并重新安装依赖，随后启动服务执行健康检查与一次完整组卷流程，确认范围确认、草稿审核与导出功能正常。若需要更换模型或向量模型，应先在测试环境验证知识提取与检索效果，再替换正式配置，并记录模型版本以便回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24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chineseCounting"/>
      <w:lvlText w:val="%1."/>
      <w:suff w:val="nothing"/>
      <w:lvlJc w:val="left"/>
      <w:pPr>
        <w:ind w:left="0" w:firstLine="0"/>
      </w:pPr>
    </w:lvl>
    <w:lvl w:ilvl="1">
      <w:start w:val="1"/>
      <w:numFmt w:val="chineseCounting"/>
      <w:lvlText w:val="（%2）"/>
      <w:suff w:val="nothing"/>
      <w:lvlJc w:val="left"/>
      <w:pPr>
        <w:ind w:left="0" w:firstLine="0"/>
      </w:pPr>
    </w:lvl>
    <w:lvl w:ilvl="2">
      <w:start w:val="1"/>
      <w:numFmt w:val="decimal"/>
      <w:lvlText w:val="%3."/>
      <w:suff w:val="nothing"/>
      <w:lvlJc w:val="left"/>
      <w:pPr>
        <w:ind w:left="0" w:firstLine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ilvl w:val="0"/>
        <w:numId w:val="90"/>
      </w:numPr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numPr>
        <w:ilvl w:val="1"/>
        <w:numId w:val="90"/>
      </w:numPr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numPr>
        <w:ilvl w:val="2"/>
        <w:numId w:val="90"/>
      </w:numPr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