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数据结构智能出卷系统 中期报告</w:t>
      </w:r>
    </w:p>
    <w:p>
      <w:pPr>
        <w:jc w:val="center"/>
      </w:pPr>
      <w:r>
        <w:rPr>
          <w:color w:val="843D0F"/>
          <w:sz w:val="28"/>
        </w:rPr>
        <w:t>完善版 v3 · 基础需求符合性与差异度量</w:t>
      </w:r>
    </w:p>
    <w:p>
      <w:pPr>
        <w:jc w:val="center"/>
      </w:pPr>
      <w:r>
        <w:rPr>
          <w:sz w:val="24"/>
        </w:rPr>
        <w:t>摸鱼小组 · 完善版 v3</w:t>
      </w:r>
    </w:p>
    <w:p>
      <w:r>
        <w:br w:type="page"/>
      </w:r>
    </w:p>
    <w:p>
      <w:pPr>
        <w:pStyle w:val="Heading1"/>
      </w:pPr>
      <w:r>
        <w:rPr>
          <w:color w:val="1F3864"/>
        </w:rPr>
        <w:t>基础需求符合性对照表</w:t>
      </w:r>
    </w:p>
    <w:p>
      <w:pPr>
        <w:ind w:firstLine="480"/>
      </w:pPr>
      <w:r>
        <w:t>上传教案、PPT、大纲形成课程材料库：已实现，上传接口支持材料种类字段，列表按种类区分展示。</w:t>
      </w:r>
    </w:p>
    <w:p>
      <w:pPr>
        <w:ind w:firstLine="480"/>
      </w:pPr>
      <w:r>
        <w:t>抽出知识点、术语、定义、解题步骤、教学重点：已实现，抽取提示词要求不得编造，解题步骤为新增字段。</w:t>
      </w:r>
    </w:p>
    <w:p>
      <w:pPr>
        <w:ind w:firstLine="480"/>
      </w:pPr>
      <w:r>
        <w:t>输入教学进度、考试范围、题型、难度、重点方向：已实现，出卷需求 schema 新增教学进度与考试范围文本字段。</w:t>
      </w:r>
    </w:p>
    <w:p>
      <w:pPr>
        <w:ind w:firstLine="480"/>
      </w:pPr>
      <w:r>
        <w:t>筛选组织生成本次考查范围：已实现，ScopeBuilder 保留章节点父子结构，无大模型时用子串匹配过滤。</w:t>
      </w:r>
    </w:p>
    <w:p>
      <w:pPr>
        <w:ind w:firstLine="480"/>
      </w:pPr>
      <w:r>
        <w:t>树状展示，教师审核修改确认：已实现，确认后节点只读，返回 409 拒绝继续修改。</w:t>
      </w:r>
    </w:p>
    <w:p>
      <w:pPr>
        <w:ind w:firstLine="480"/>
      </w:pPr>
      <w:r>
        <w:t>按确认范围与材料讲解方式组卷：已实现，PaperAssembler 只从题库装配，未确认范围直接抛错。</w:t>
      </w:r>
    </w:p>
    <w:p>
      <w:pPr>
        <w:ind w:firstLine="480"/>
      </w:pPr>
      <w:r>
        <w:t>预览、修改、保存、导出：已实现，预览页支持改题干、选项、答案、解析、分值与顺序，导出多格式与答题卡。</w:t>
      </w:r>
    </w:p>
    <w:p>
      <w:pPr>
        <w:pStyle w:val="Heading1"/>
      </w:pPr>
      <w:r>
        <w:rPr>
          <w:color w:val="1F3864"/>
        </w:rPr>
        <w:t>新架构</w:t>
      </w:r>
    </w:p>
    <w:p>
      <w:pPr>
        <w:ind w:firstLine="480"/>
      </w:pPr>
      <w:r>
        <w:t>考查范围模块：exam_scopes 与 exam_scope_nodes 两张表持久化范围树，出卷需求以 JSON 存档。</w:t>
      </w:r>
    </w:p>
    <w:p>
      <w:pPr>
        <w:ind w:firstLine="480"/>
      </w:pPr>
      <w:r>
        <w:t>ScopeBuilder：从课程知识树按出卷需求过滤，保留祖先链，产出 proposed 状态的考查范围。</w:t>
      </w:r>
    </w:p>
    <w:p>
      <w:pPr>
        <w:ind w:firstLine="480"/>
      </w:pPr>
      <w:r>
        <w:t>PaperAssembler：组卷唯一实现，拼接定义、术语、解题步骤与教学重点作为上下文，先检索题库。</w:t>
      </w:r>
    </w:p>
    <w:p>
      <w:pPr>
        <w:ind w:firstLine="480"/>
      </w:pPr>
      <w:r>
        <w:t>单一教学助手：LangGraph 状态机依次经过意图路由、提出范围、范围审核中断、装配、试卷审核中断。</w:t>
      </w:r>
    </w:p>
    <w:p>
      <w:pPr>
        <w:pStyle w:val="Heading1"/>
      </w:pPr>
      <w:r>
        <w:rPr>
          <w:color w:val="1F3864"/>
        </w:rPr>
        <w:t>前端换栈说明</w:t>
      </w:r>
    </w:p>
    <w:p>
      <w:pPr>
        <w:ind w:firstLine="480"/>
      </w:pPr>
      <w:r>
        <w:t>旧版前端使用 Vue 3 与 Naive UI，页面之间状态共享薄弱，类型系统缺失，向导式流程难以维护。</w:t>
      </w:r>
    </w:p>
    <w:p>
      <w:pPr>
        <w:ind w:firstLine="480"/>
      </w:pPr>
      <w:r>
        <w:t>完善版以 React 18 + Ant Design 5 重写全部页面，页面职责保持一致，仅新增草稿页与范围审核步骤。</w:t>
      </w:r>
    </w:p>
    <w:p>
      <w:pPr>
        <w:ind w:firstLine="480"/>
      </w:pPr>
      <w:r>
        <w:t>旧 Vue 源码已从运行目录移除并冻结进差异基线，新前端构建以 tsc 类型检查与 Vite 产物为门。</w:t>
      </w:r>
    </w:p>
    <w:p>
      <w:pPr>
        <w:pStyle w:val="Heading1"/>
      </w:pPr>
      <w:r>
        <w:rPr>
          <w:color w:val="1F3864"/>
        </w:rPr>
        <w:t>已完成模块与演示路径</w:t>
      </w:r>
    </w:p>
    <w:p>
      <w:pPr>
        <w:ind w:firstLine="480"/>
      </w:pPr>
      <w:r>
        <w:t>材料库演示：上传一份 PPT（种类 PPT）与一份教案（种类 教案），列表正确显示种类，详情可见解析正文。</w:t>
      </w:r>
    </w:p>
    <w:p>
      <w:pPr>
        <w:ind w:firstLine="480"/>
      </w:pPr>
      <w:r>
        <w:t>知识树演示：对材料点提取，树形展开章节点，点上可见定义、术语、解题步骤与教学重点并可编辑。</w:t>
      </w:r>
    </w:p>
    <w:p>
      <w:pPr>
        <w:ind w:firstLine="480"/>
      </w:pPr>
      <w:r>
        <w:t>组卷演示：向导第一步填写需求，第二步审核确认考查范围，第三步得到试卷与草稿提醒。</w:t>
      </w:r>
    </w:p>
    <w:p>
      <w:pPr>
        <w:ind w:firstLine="480"/>
      </w:pPr>
      <w:r>
        <w:t>导出演示：预览页修改分值后导出 DOCX，文件可下载打开。</w:t>
      </w:r>
    </w:p>
    <w:p>
      <w:pPr>
        <w:pStyle w:val="Heading1"/>
      </w:pPr>
      <w:r>
        <w:rPr>
          <w:color w:val="1F3864"/>
        </w:rPr>
        <w:t>差异度量方法与当前数字</w:t>
      </w:r>
    </w:p>
    <w:p>
      <w:pPr>
        <w:ind w:firstLine="480"/>
      </w:pPr>
      <w:r>
        <w:t>源码 churn：以冻结旧源码文件哈希为基准，按字节数计算未被新树继承的比例，当前为 100%。</w:t>
      </w:r>
    </w:p>
    <w:p>
      <w:pPr>
        <w:ind w:firstLine="480"/>
      </w:pPr>
      <w:r>
        <w:t>模块替换：十九个核心模块中已替换十五个，比例约 79%，超过 30% 门槛。</w:t>
      </w:r>
    </w:p>
    <w:p>
      <w:pPr>
        <w:ind w:firstLine="480"/>
      </w:pPr>
      <w:r>
        <w:t>学术文档重写：四件套按段落集合比较重写比例，本版全部按新大纲重新撰写后覆盖原文件。</w:t>
      </w:r>
    </w:p>
    <w:p>
      <w:pPr>
        <w:pStyle w:val="Heading1"/>
      </w:pPr>
      <w:r>
        <w:rPr>
          <w:color w:val="1F3864"/>
        </w:rPr>
        <w:t>待完成与风险</w:t>
      </w:r>
    </w:p>
    <w:p>
      <w:pPr>
        <w:ind w:firstLine="480"/>
      </w:pPr>
      <w:r>
        <w:t>待完成：答辩 PPT 的演示录屏占位、README 运行截图补充。</w:t>
      </w:r>
    </w:p>
    <w:p>
      <w:pPr>
        <w:ind w:firstLine="480"/>
      </w:pPr>
      <w:r>
        <w:t>风险：大模型拟草稿质量依赖材料质量，需教师在草稿页把关；本地嵌入模型首次加载较慢。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