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C450F">
      <w:pPr>
        <w:spacing w:after="120"/>
        <w:jc w:val="center"/>
      </w:pPr>
      <w:r>
        <w:drawing>
          <wp:inline distT="0" distB="0" distL="0" distR="0">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6"/>
                    <a:srcRect/>
                    <a:stretch>
                      <a:fillRect/>
                    </a:stretch>
                  </pic:blipFill>
                  <pic:spPr>
                    <a:xfrm>
                      <a:off x="0" y="0"/>
                      <a:ext cx="3048000" cy="742950"/>
                    </a:xfrm>
                    <a:prstGeom prst="rect">
                      <a:avLst/>
                    </a:prstGeom>
                  </pic:spPr>
                </pic:pic>
              </a:graphicData>
            </a:graphic>
          </wp:inline>
        </w:drawing>
      </w:r>
    </w:p>
    <w:p w14:paraId="32B2312F">
      <w:pPr>
        <w:pBdr>
          <w:bottom w:val="single" w:color="000000" w:sz="2" w:space="1"/>
        </w:pBdr>
        <w:spacing w:before="40" w:after="200"/>
      </w:pPr>
    </w:p>
    <w:p w14:paraId="79159EA7">
      <w:pPr>
        <w:spacing w:before="80" w:after="300"/>
        <w:jc w:val="center"/>
      </w:pPr>
      <w:r>
        <w:rPr>
          <w:rFonts w:ascii="Arial" w:hAnsi="Arial" w:eastAsia="Arial" w:cs="Arial"/>
          <w:b/>
          <w:bCs/>
          <w:sz w:val="28"/>
          <w:szCs w:val="28"/>
        </w:rPr>
        <w:t>XJTLU Entrepreneur College (Taicang)</w:t>
      </w:r>
    </w:p>
    <w:tbl>
      <w:tblPr>
        <w:tblStyle w:val="11"/>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740"/>
      </w:tblGrid>
      <w:tr w14:paraId="72DC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D7470EA">
            <w:r>
              <w:rPr>
                <w:rFonts w:ascii="Arial" w:hAnsi="Arial" w:eastAsia="Arial" w:cs="Arial"/>
                <w:b/>
                <w:bCs/>
                <w:color w:val="000000"/>
                <w:sz w:val="20"/>
                <w:szCs w:val="20"/>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1CB1C7">
            <w:r>
              <w:rPr>
                <w:rFonts w:ascii="Arial" w:hAnsi="Arial" w:eastAsia="Arial" w:cs="Arial"/>
                <w:color w:val="000000"/>
                <w:sz w:val="20"/>
                <w:szCs w:val="20"/>
              </w:rPr>
              <w:t>ENT208TC Industry Readiness</w:t>
            </w:r>
          </w:p>
        </w:tc>
      </w:tr>
      <w:tr w14:paraId="7CE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EADE8CC">
            <w:r>
              <w:rPr>
                <w:rFonts w:ascii="Arial" w:hAnsi="Arial" w:eastAsia="Arial" w:cs="Arial"/>
                <w:b/>
                <w:bCs/>
                <w:color w:val="000000"/>
                <w:sz w:val="20"/>
                <w:szCs w:val="20"/>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0C8A7F7">
            <w:r>
              <w:rPr>
                <w:rFonts w:ascii="Arial" w:hAnsi="Arial" w:eastAsia="Arial" w:cs="Arial"/>
                <w:color w:val="000000"/>
                <w:sz w:val="20"/>
                <w:szCs w:val="20"/>
              </w:rPr>
              <w:t>XJTLU Entrepreneur College (Taicang)</w:t>
            </w:r>
          </w:p>
        </w:tc>
      </w:tr>
      <w:tr w14:paraId="2FF2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58F0F29">
            <w:r>
              <w:rPr>
                <w:rFonts w:ascii="Arial" w:hAnsi="Arial" w:eastAsia="Arial" w:cs="Arial"/>
                <w:b/>
                <w:bCs/>
                <w:color w:val="000000"/>
                <w:sz w:val="20"/>
                <w:szCs w:val="20"/>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4576FB">
            <w:r>
              <w:rPr>
                <w:rFonts w:ascii="Arial" w:hAnsi="Arial" w:eastAsia="Arial" w:cs="Arial"/>
                <w:color w:val="000000"/>
                <w:sz w:val="20"/>
                <w:szCs w:val="20"/>
              </w:rPr>
              <w:t>Project Brief</w:t>
            </w:r>
          </w:p>
        </w:tc>
      </w:tr>
      <w:tr w14:paraId="2B43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BD799D4">
            <w:r>
              <w:rPr>
                <w:rFonts w:ascii="Arial" w:hAnsi="Arial" w:eastAsia="Arial" w:cs="Arial"/>
                <w:b/>
                <w:bCs/>
                <w:color w:val="000000"/>
                <w:sz w:val="20"/>
                <w:szCs w:val="20"/>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354278">
            <w:r>
              <w:rPr>
                <w:rFonts w:ascii="Arial" w:hAnsi="Arial" w:eastAsia="Arial" w:cs="Arial"/>
                <w:b/>
                <w:bCs/>
                <w:color w:val="000000"/>
                <w:sz w:val="20"/>
                <w:szCs w:val="20"/>
              </w:rPr>
              <w:t>Friday March 27, 2026 before 23:59 (Beijing Time, GMT+8)</w:t>
            </w:r>
          </w:p>
        </w:tc>
      </w:tr>
      <w:tr w14:paraId="209D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EF05B3E">
            <w:r>
              <w:rPr>
                <w:rFonts w:ascii="Arial" w:hAnsi="Arial" w:eastAsia="Arial" w:cs="Arial"/>
                <w:b/>
                <w:bCs/>
                <w:color w:val="000000"/>
                <w:sz w:val="20"/>
                <w:szCs w:val="20"/>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E94233">
            <w:r>
              <w:rPr>
                <w:rFonts w:ascii="Arial" w:hAnsi="Arial" w:eastAsia="Arial" w:cs="Arial"/>
                <w:color w:val="000000"/>
                <w:sz w:val="20"/>
                <w:szCs w:val="20"/>
              </w:rPr>
              <w:t xml:space="preserve">[Session </w:t>
            </w:r>
            <w:r>
              <w:rPr>
                <w:rFonts w:hint="eastAsia" w:ascii="Arial" w:hAnsi="Arial" w:eastAsia="宋体" w:cs="Arial"/>
                <w:color w:val="000000"/>
                <w:sz w:val="20"/>
                <w:szCs w:val="20"/>
                <w:lang w:val="en-US" w:eastAsia="zh-CN"/>
              </w:rPr>
              <w:t>2</w:t>
            </w:r>
            <w:r>
              <w:rPr>
                <w:rFonts w:ascii="Arial" w:hAnsi="Arial" w:eastAsia="Arial" w:cs="Arial"/>
                <w:color w:val="000000"/>
                <w:sz w:val="20"/>
                <w:szCs w:val="20"/>
              </w:rPr>
              <w:t xml:space="preserve"> — Group </w:t>
            </w:r>
            <w:r>
              <w:rPr>
                <w:rFonts w:hint="eastAsia" w:ascii="Arial" w:hAnsi="Arial" w:eastAsia="宋体" w:cs="Arial"/>
                <w:color w:val="000000"/>
                <w:sz w:val="20"/>
                <w:szCs w:val="20"/>
                <w:lang w:val="en-US" w:eastAsia="zh-CN"/>
              </w:rPr>
              <w:t>21</w:t>
            </w:r>
            <w:r>
              <w:rPr>
                <w:rFonts w:ascii="Arial" w:hAnsi="Arial" w:eastAsia="Arial" w:cs="Arial"/>
                <w:color w:val="000000"/>
                <w:sz w:val="20"/>
                <w:szCs w:val="20"/>
              </w:rPr>
              <w:t>]</w:t>
            </w:r>
          </w:p>
        </w:tc>
      </w:tr>
      <w:tr w14:paraId="79E8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2B2703E">
            <w:r>
              <w:rPr>
                <w:rFonts w:ascii="Arial" w:hAnsi="Arial" w:eastAsia="Arial" w:cs="Arial"/>
                <w:b/>
                <w:bCs/>
                <w:color w:val="000000"/>
                <w:sz w:val="20"/>
                <w:szCs w:val="20"/>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88EC91">
            <w:r>
              <w:rPr>
                <w:rFonts w:ascii="Arial" w:hAnsi="Arial" w:eastAsia="Arial" w:cs="Arial"/>
                <w:color w:val="000000"/>
                <w:sz w:val="20"/>
                <w:szCs w:val="20"/>
              </w:rPr>
              <w:t>[ID1, ID2, ID3, ID4, ID5, ID6, ID7]</w:t>
            </w:r>
          </w:p>
        </w:tc>
      </w:tr>
      <w:tr w14:paraId="2E8A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D468D93">
            <w:r>
              <w:rPr>
                <w:rFonts w:ascii="Arial" w:hAnsi="Arial" w:eastAsia="Arial" w:cs="Arial"/>
                <w:b/>
                <w:bCs/>
                <w:color w:val="000000"/>
                <w:sz w:val="20"/>
                <w:szCs w:val="20"/>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6B23AE8"/>
        </w:tc>
      </w:tr>
      <w:tr w14:paraId="0D86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1F394609">
            <w:r>
              <w:rPr>
                <w:rFonts w:ascii="Arial" w:hAnsi="Arial" w:eastAsia="Arial" w:cs="Arial"/>
                <w:sz w:val="18"/>
                <w:szCs w:val="18"/>
              </w:rPr>
              <w:t xml:space="preserve">If you agree to let the university use your work anonymously for teaching and learning purposes, please type </w:t>
            </w:r>
            <w:r>
              <w:rPr>
                <w:rFonts w:ascii="Arial" w:hAnsi="Arial" w:eastAsia="Arial" w:cs="Arial"/>
                <w:b/>
                <w:bCs/>
                <w:sz w:val="18"/>
                <w:szCs w:val="18"/>
              </w:rPr>
              <w:t>“yes”</w:t>
            </w:r>
            <w:r>
              <w:rPr>
                <w:rFonts w:ascii="Arial" w:hAnsi="Arial" w:eastAsia="Arial" w:cs="Arial"/>
                <w:sz w:val="18"/>
                <w:szCs w:val="18"/>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34086F5"/>
        </w:tc>
      </w:tr>
    </w:tbl>
    <w:p w14:paraId="746A5C17">
      <w:pPr>
        <w:spacing w:before="300" w:after="120"/>
      </w:pPr>
    </w:p>
    <w:p w14:paraId="2F5BCA41">
      <w:pPr>
        <w:spacing w:after="80"/>
        <w:jc w:val="both"/>
      </w:pPr>
      <w:r>
        <w:rPr>
          <w:rFonts w:ascii="Arial" w:hAnsi="Arial" w:eastAsia="Arial" w:cs="Arial"/>
          <w:sz w:val="20"/>
          <w:szCs w:val="20"/>
        </w:rPr>
        <w:t>I certify that I have read and understood the University’s Policy for dealing with Plagiarism, Collusion, and the Fabrication of Data (available on Learning Mall Online). With reference to this policy, I certify that:</w:t>
      </w:r>
    </w:p>
    <w:p w14:paraId="6F6AE8AA">
      <w:pPr>
        <w:pStyle w:val="17"/>
        <w:numPr>
          <w:ilvl w:val="0"/>
          <w:numId w:val="1"/>
        </w:numPr>
        <w:spacing w:after="80"/>
      </w:pPr>
      <w:r>
        <w:rPr>
          <w:rFonts w:ascii="Arial" w:hAnsi="Arial" w:eastAsia="Arial" w:cs="Arial"/>
          <w:sz w:val="20"/>
          <w:szCs w:val="20"/>
        </w:rPr>
        <w:t>My work does not contain any instances of plagiarism and/or collusion. My work does not contain any fabricated data.</w:t>
      </w:r>
    </w:p>
    <w:p w14:paraId="736CC5C7">
      <w:pPr>
        <w:spacing w:before="120" w:after="200"/>
        <w:jc w:val="both"/>
      </w:pPr>
      <w:r>
        <w:rPr>
          <w:rFonts w:ascii="Arial" w:hAnsi="Arial" w:eastAsia="Arial" w:cs="Arial"/>
          <w:b/>
          <w:bCs/>
          <w:sz w:val="20"/>
          <w:szCs w:val="20"/>
        </w:rPr>
        <w:t>By uploading my assignment onto Learning Mall Online, I formally declare that all of the above information is true to the best of my knowledge and belief.</w:t>
      </w:r>
    </w:p>
    <w:tbl>
      <w:tblPr>
        <w:tblStyle w:val="11"/>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000"/>
        <w:gridCol w:w="1000"/>
        <w:gridCol w:w="1000"/>
        <w:gridCol w:w="1000"/>
        <w:gridCol w:w="1000"/>
        <w:gridCol w:w="1540"/>
      </w:tblGrid>
      <w:tr w14:paraId="3E0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4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EEC6598">
            <w:pPr>
              <w:jc w:val="center"/>
            </w:pPr>
            <w:r>
              <w:rPr>
                <w:rFonts w:ascii="Arial" w:hAnsi="Arial" w:eastAsia="Arial" w:cs="Arial"/>
                <w:b/>
                <w:bCs/>
                <w:color w:val="000000"/>
                <w:sz w:val="16"/>
                <w:szCs w:val="16"/>
              </w:rPr>
              <w:t>Scoring — For Tutor Use</w:t>
            </w:r>
          </w:p>
        </w:tc>
      </w:tr>
      <w:tr w14:paraId="5F9D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95AE365">
            <w:pPr>
              <w:jc w:val="center"/>
            </w:pPr>
            <w:r>
              <w:rPr>
                <w:rFonts w:ascii="Arial" w:hAnsi="Arial" w:eastAsia="Arial" w:cs="Arial"/>
                <w:b/>
                <w:bCs/>
                <w:color w:val="000000"/>
                <w:sz w:val="16"/>
                <w:szCs w:val="16"/>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ED294A6">
            <w:pPr>
              <w:jc w:val="center"/>
            </w:pPr>
          </w:p>
        </w:tc>
      </w:tr>
      <w:tr w14:paraId="6C20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386A5E33">
            <w:pPr>
              <w:jc w:val="center"/>
            </w:pPr>
            <w:r>
              <w:rPr>
                <w:rFonts w:ascii="Arial" w:hAnsi="Arial" w:eastAsia="Arial" w:cs="Arial"/>
                <w:b/>
                <w:bCs/>
                <w:color w:val="000000"/>
                <w:sz w:val="16"/>
                <w:szCs w:val="16"/>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3ACA0C5">
            <w:pPr>
              <w:jc w:val="center"/>
            </w:pPr>
            <w:r>
              <w:rPr>
                <w:rFonts w:ascii="Arial" w:hAnsi="Arial" w:eastAsia="Arial" w:cs="Arial"/>
                <w:b/>
                <w:bCs/>
                <w:color w:val="000000"/>
                <w:sz w:val="16"/>
                <w:szCs w:val="16"/>
              </w:rPr>
              <w:t>Marker Code</w:t>
            </w:r>
          </w:p>
        </w:tc>
        <w:tc>
          <w:tcPr>
            <w:tcW w:w="5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70A08206">
            <w:pPr>
              <w:jc w:val="center"/>
            </w:pPr>
            <w:r>
              <w:rPr>
                <w:rFonts w:ascii="Arial" w:hAnsi="Arial" w:eastAsia="Arial" w:cs="Arial"/>
                <w:b/>
                <w:bCs/>
                <w:sz w:val="16"/>
                <w:szCs w:val="16"/>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8A925ED">
            <w:pPr>
              <w:jc w:val="center"/>
            </w:pPr>
            <w:r>
              <w:rPr>
                <w:rFonts w:ascii="Arial" w:hAnsi="Arial" w:eastAsia="Arial" w:cs="Arial"/>
                <w:b/>
                <w:bCs/>
                <w:color w:val="000000"/>
                <w:sz w:val="16"/>
                <w:szCs w:val="16"/>
              </w:rPr>
              <w:t>Final Score</w:t>
            </w:r>
          </w:p>
        </w:tc>
      </w:tr>
      <w:tr w14:paraId="04A2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302CF99">
            <w:pPr>
              <w:jc w:val="cente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DE30668">
            <w:pPr>
              <w:jc w:val="cente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979BE36">
            <w:pPr>
              <w:jc w:val="center"/>
            </w:pPr>
            <w:r>
              <w:rPr>
                <w:rFonts w:ascii="Arial" w:hAnsi="Arial" w:eastAsia="Arial" w:cs="Arial"/>
                <w:b/>
                <w:bCs/>
                <w:color w:val="000000"/>
                <w:sz w:val="16"/>
                <w:szCs w:val="16"/>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E83162C">
            <w:pPr>
              <w:jc w:val="center"/>
            </w:pPr>
            <w:r>
              <w:rPr>
                <w:rFonts w:ascii="Arial" w:hAnsi="Arial" w:eastAsia="Arial" w:cs="Arial"/>
                <w:b/>
                <w:bCs/>
                <w:color w:val="000000"/>
                <w:sz w:val="16"/>
                <w:szCs w:val="16"/>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5F6A028">
            <w:pPr>
              <w:jc w:val="center"/>
            </w:pPr>
            <w:r>
              <w:rPr>
                <w:rFonts w:ascii="Arial" w:hAnsi="Arial" w:eastAsia="Arial" w:cs="Arial"/>
                <w:b/>
                <w:bCs/>
                <w:color w:val="000000"/>
                <w:sz w:val="16"/>
                <w:szCs w:val="16"/>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16ACFE8">
            <w:pPr>
              <w:jc w:val="center"/>
            </w:pPr>
            <w:r>
              <w:rPr>
                <w:rFonts w:ascii="Arial" w:hAnsi="Arial" w:eastAsia="Arial" w:cs="Arial"/>
                <w:b/>
                <w:bCs/>
                <w:color w:val="000000"/>
                <w:sz w:val="16"/>
                <w:szCs w:val="16"/>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9B6EC05">
            <w:pPr>
              <w:jc w:val="center"/>
            </w:pPr>
            <w:r>
              <w:rPr>
                <w:rFonts w:ascii="Arial" w:hAnsi="Arial" w:eastAsia="Arial" w:cs="Arial"/>
                <w:b/>
                <w:bCs/>
                <w:color w:val="000000"/>
                <w:sz w:val="16"/>
                <w:szCs w:val="16"/>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9895581">
            <w:pPr>
              <w:jc w:val="center"/>
            </w:pPr>
          </w:p>
        </w:tc>
      </w:tr>
      <w:tr w14:paraId="1AEB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AB101FF">
            <w:r>
              <w:rPr>
                <w:rFonts w:ascii="Arial" w:hAnsi="Arial" w:eastAsia="Arial" w:cs="Arial"/>
                <w:color w:val="000000"/>
                <w:sz w:val="16"/>
                <w:szCs w:val="16"/>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3A6877A">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6A8261E">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B1BB8">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9F36557">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983B26B">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C60775C">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FB8A5">
            <w:pPr>
              <w:jc w:val="center"/>
            </w:pPr>
          </w:p>
        </w:tc>
      </w:tr>
      <w:tr w14:paraId="19D4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80AE15E">
            <w:r>
              <w:rPr>
                <w:rFonts w:ascii="Arial" w:hAnsi="Arial" w:eastAsia="Arial" w:cs="Arial"/>
                <w:color w:val="000000"/>
                <w:sz w:val="16"/>
                <w:szCs w:val="16"/>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474A51F">
            <w:pPr>
              <w:jc w:val="center"/>
            </w:pPr>
            <w:r>
              <w:rPr>
                <w:rFonts w:ascii="Arial" w:hAnsi="Arial" w:eastAsia="Arial" w:cs="Arial"/>
                <w:color w:val="000000"/>
                <w:sz w:val="16"/>
                <w:szCs w:val="16"/>
              </w:rPr>
              <w:t>IM Initials</w:t>
            </w:r>
          </w:p>
        </w:tc>
        <w:tc>
          <w:tcPr>
            <w:tcW w:w="5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79EF6528">
            <w:r>
              <w:rPr>
                <w:rFonts w:ascii="Arial" w:hAnsi="Arial" w:eastAsia="Arial" w:cs="Arial"/>
                <w:sz w:val="16"/>
                <w:szCs w:val="16"/>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008B9FF">
            <w:pPr>
              <w:jc w:val="center"/>
            </w:pPr>
            <w:r>
              <w:rPr>
                <w:rFonts w:ascii="Arial" w:hAnsi="Arial" w:eastAsia="Arial" w:cs="Arial"/>
                <w:color w:val="000000"/>
                <w:sz w:val="16"/>
                <w:szCs w:val="16"/>
              </w:rPr>
              <w:t>Y / N</w:t>
            </w:r>
          </w:p>
        </w:tc>
      </w:tr>
      <w:tr w14:paraId="5D7A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356FE95">
            <w:r>
              <w:rPr>
                <w:rFonts w:ascii="Arial" w:hAnsi="Arial" w:eastAsia="Arial" w:cs="Arial"/>
                <w:color w:val="000000"/>
                <w:sz w:val="16"/>
                <w:szCs w:val="16"/>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B7155E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5FA16A1">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642D46F">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CDC9E23">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6AB6934">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8EFA41E">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C77DD87">
            <w:pPr>
              <w:jc w:val="center"/>
            </w:pPr>
          </w:p>
        </w:tc>
      </w:tr>
    </w:tbl>
    <w:p w14:paraId="39F1FE77">
      <w:pPr>
        <w:spacing w:before="200"/>
      </w:pPr>
    </w:p>
    <w:p w14:paraId="13BBEA22">
      <w:pPr>
        <w:jc w:val="center"/>
      </w:pPr>
      <w:r>
        <w:drawing>
          <wp:inline distT="0" distB="0" distL="0" distR="0">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7"/>
                    <a:srcRect/>
                    <a:stretch>
                      <a:fillRect/>
                    </a:stretch>
                  </pic:blipFill>
                  <pic:spPr>
                    <a:xfrm>
                      <a:off x="0" y="0"/>
                      <a:ext cx="1905000" cy="390525"/>
                    </a:xfrm>
                    <a:prstGeom prst="rect">
                      <a:avLst/>
                    </a:prstGeom>
                  </pic:spPr>
                </pic:pic>
              </a:graphicData>
            </a:graphic>
          </wp:inline>
        </w:drawing>
      </w:r>
    </w:p>
    <w:p w14:paraId="2B11D818">
      <w:pPr>
        <w:sectPr>
          <w:pgSz w:w="11906" w:h="16838"/>
          <w:pgMar w:top="1000" w:right="980" w:bottom="1200" w:left="980" w:header="708" w:footer="708" w:gutter="0"/>
          <w:cols w:space="720" w:num="1"/>
          <w:docGrid w:linePitch="360" w:charSpace="0"/>
        </w:sectPr>
      </w:pPr>
    </w:p>
    <w:p w14:paraId="669BDDF8">
      <w:pPr>
        <w:spacing w:before="240" w:after="120" w:line="360" w:lineRule="auto"/>
      </w:pPr>
      <w:r>
        <w:rPr>
          <w:b/>
          <w:bCs/>
          <w:color w:val="0F1F2E"/>
          <w:sz w:val="28"/>
          <w:szCs w:val="28"/>
        </w:rPr>
        <w:t>Section 1 — The Problem</w:t>
      </w:r>
    </w:p>
    <w:p w14:paraId="049F575A">
      <w:pPr>
        <w:spacing w:before="60" w:after="120" w:line="360" w:lineRule="auto"/>
        <w:jc w:val="both"/>
        <w:rPr>
          <w:sz w:val="24"/>
          <w:szCs w:val="24"/>
        </w:rPr>
      </w:pPr>
      <w:r>
        <w:rPr>
          <w:i/>
          <w:iCs/>
          <w:color w:val="636E78"/>
          <w:sz w:val="24"/>
          <w:szCs w:val="24"/>
        </w:rPr>
        <w:t>Why does this matter? Who is affected, and how often? Do not mention your product or solution in this section. (100–150 words)</w:t>
      </w:r>
    </w:p>
    <w:p w14:paraId="739F4088">
      <w:pPr>
        <w:spacing w:before="120" w:after="120" w:line="360" w:lineRule="auto"/>
        <w:jc w:val="both"/>
        <w:rPr>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University students often feel unprepared for internships and job applications because useful career information is scattered across many different places. Recruitment posts may appear on one platform, interview experiences on another, and practical advice is often buried in private chats or passed between friends. This mainly affects students who are applying for the first time, especially those without strong personal networks or senior guidance. They currently deal with this by searching across multiple apps, asking classmates, and collecting random screenshots or notes. This workaround is inefficient, stressful, and unreliable because the information is incomplete, hard to compare, and often arrives too late. As a result, students spend more time</w:t>
      </w:r>
      <w:r>
        <w:rPr>
          <w:rFonts w:hint="eastAsia"/>
          <w:i/>
          <w:iCs/>
          <w:color w:val="999999"/>
          <w:sz w:val="24"/>
          <w:szCs w:val="24"/>
        </w:rPr>
        <w:t xml:space="preserve"> </w:t>
      </w:r>
      <w:r>
        <w:rPr>
          <w:rFonts w:hint="eastAsia"/>
          <w:i/>
          <w:iCs/>
          <w:color w:val="000000" w:themeColor="text1"/>
          <w:sz w:val="24"/>
          <w:szCs w:val="24"/>
          <w14:textFill>
            <w14:solidFill>
              <w14:schemeClr w14:val="tx1"/>
            </w14:solidFill>
          </w14:textFill>
        </w:rPr>
        <w:t>searching for information than actually preparing for interviews and applications.</w:t>
      </w:r>
    </w:p>
    <w:p w14:paraId="0440E655">
      <w:pPr>
        <w:spacing w:before="240" w:after="120" w:line="360" w:lineRule="auto"/>
      </w:pPr>
      <w:r>
        <w:rPr>
          <w:b/>
          <w:bCs/>
          <w:color w:val="0F1F2E"/>
          <w:sz w:val="28"/>
          <w:szCs w:val="28"/>
        </w:rPr>
        <w:t>Section 2 — Target Users</w:t>
      </w:r>
    </w:p>
    <w:p w14:paraId="48D10074">
      <w:pPr>
        <w:spacing w:before="60" w:after="120" w:line="360" w:lineRule="auto"/>
        <w:jc w:val="both"/>
        <w:rPr>
          <w:sz w:val="24"/>
          <w:szCs w:val="24"/>
        </w:rPr>
      </w:pPr>
      <w:r>
        <w:rPr>
          <w:i/>
          <w:iCs/>
          <w:color w:val="636E78"/>
          <w:sz w:val="24"/>
          <w:szCs w:val="24"/>
        </w:rPr>
        <w:t>Who exactly are you building for? Describe a real type of person, not a demographic category. (60–100 words)</w:t>
      </w:r>
    </w:p>
    <w:p w14:paraId="75A765C9">
      <w:pPr>
        <w:spacing w:before="120" w:after="120" w:line="360" w:lineRule="auto"/>
        <w:jc w:val="both"/>
        <w:rPr>
          <w:rFonts w:hint="eastAsia"/>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Our target user is a third-year undergraduate student applying for a first summer internship who does not have strong senior guidance or industry connections. This student is not looking for general career advice. They want clear and practical help with three immediate tasks: finding suitable internship opportunities, understanding what interviewers may ask, and knowing how to prepare step by step. They often use multiple platforms, but the information is scattered, repetitive, and difficult to trust, which makes the whole process stressful and inefficient.</w:t>
      </w:r>
    </w:p>
    <w:p w14:paraId="1A5EC78B">
      <w:pPr>
        <w:spacing w:before="120" w:after="120" w:line="360" w:lineRule="auto"/>
        <w:jc w:val="both"/>
        <w:rPr>
          <w:rFonts w:hint="eastAsia"/>
          <w:i/>
          <w:iCs/>
          <w:color w:val="000000" w:themeColor="text1"/>
          <w:sz w:val="24"/>
          <w:szCs w:val="24"/>
          <w14:textFill>
            <w14:solidFill>
              <w14:schemeClr w14:val="tx1"/>
            </w14:solidFill>
          </w14:textFill>
        </w:rPr>
      </w:pPr>
    </w:p>
    <w:p w14:paraId="6A4E0642">
      <w:pPr>
        <w:spacing w:before="240" w:after="120" w:line="360" w:lineRule="auto"/>
      </w:pPr>
      <w:r>
        <w:rPr>
          <w:b/>
          <w:bCs/>
          <w:color w:val="0F1F2E"/>
          <w:sz w:val="28"/>
          <w:szCs w:val="28"/>
        </w:rPr>
        <w:t>Section 3 — The Solution</w:t>
      </w:r>
    </w:p>
    <w:p w14:paraId="4E53110E">
      <w:pPr>
        <w:spacing w:before="60" w:after="120" w:line="360" w:lineRule="auto"/>
        <w:jc w:val="both"/>
        <w:rPr>
          <w:sz w:val="24"/>
          <w:szCs w:val="24"/>
        </w:rPr>
      </w:pPr>
      <w:r>
        <w:rPr>
          <w:i/>
          <w:iCs/>
          <w:color w:val="636E78"/>
          <w:sz w:val="24"/>
          <w:szCs w:val="24"/>
        </w:rPr>
        <w:t>What are you building, and what does it do for the user? Write from the user’s perspective. No technology stack details. (100–150 words)</w:t>
      </w:r>
    </w:p>
    <w:p w14:paraId="4507D2ED">
      <w:pPr>
        <w:spacing w:before="120" w:after="120" w:line="360" w:lineRule="auto"/>
        <w:jc w:val="both"/>
        <w:rPr>
          <w:rFonts w:hint="eastAsia" w:eastAsia="宋体"/>
          <w:i/>
          <w:iCs/>
          <w:color w:val="000000" w:themeColor="text1"/>
          <w:sz w:val="24"/>
          <w:szCs w:val="24"/>
          <w:lang w:val="en-US" w:eastAsia="zh-CN"/>
          <w14:textFill>
            <w14:solidFill>
              <w14:schemeClr w14:val="tx1"/>
            </w14:solidFill>
          </w14:textFill>
        </w:rPr>
      </w:pPr>
      <w:bookmarkStart w:id="0" w:name="_GoBack"/>
      <w:bookmarkEnd w:id="0"/>
      <w:r>
        <w:rPr>
          <w:rFonts w:hint="eastAsia" w:eastAsia="宋体"/>
          <w:i/>
          <w:iCs/>
          <w:color w:val="000000" w:themeColor="text1"/>
          <w:sz w:val="24"/>
          <w:szCs w:val="24"/>
          <w:lang w:val="en-US" w:eastAsia="zh-CN"/>
          <w14:textFill>
            <w14:solidFill>
              <w14:schemeClr w14:val="tx1"/>
            </w14:solidFill>
          </w14:textFill>
        </w:rPr>
        <w:t>We are building a student-centered career preparation platform focused on one core job: helping first-time internship applicants find useful interview preparation content quickly. From the user’s perspective, the platform reduces time wasted on switching between different apps and searching through unreliable posts. Instead, they can search a structured collection of real interview experiences and common interview questions that are relevant to student internship applications. The aim is not to solve every career problem at once, but to help users move from uncertainty to action by giving them clearer, more organized, and more usable preparation content in one place.</w:t>
      </w:r>
    </w:p>
    <w:p w14:paraId="4A7FFD83">
      <w:pPr>
        <w:spacing w:before="120" w:after="120" w:line="360" w:lineRule="auto"/>
        <w:jc w:val="both"/>
        <w:rPr>
          <w:rFonts w:hint="eastAsia"/>
          <w:i/>
          <w:iCs/>
          <w:color w:val="000000" w:themeColor="text1"/>
          <w:sz w:val="24"/>
          <w:szCs w:val="24"/>
          <w14:textFill>
            <w14:solidFill>
              <w14:schemeClr w14:val="tx1"/>
            </w14:solidFill>
          </w14:textFill>
        </w:rPr>
      </w:pPr>
    </w:p>
    <w:p w14:paraId="29AB94A2">
      <w:pPr>
        <w:spacing w:before="180" w:after="60" w:line="360" w:lineRule="auto"/>
      </w:pPr>
      <w:r>
        <w:rPr>
          <w:b/>
          <w:bCs/>
          <w:color w:val="0F1F2E"/>
        </w:rPr>
        <w:t>Key Features</w:t>
      </w:r>
    </w:p>
    <w:p w14:paraId="4F732468">
      <w:pPr>
        <w:spacing w:before="60" w:after="120" w:line="360" w:lineRule="auto"/>
        <w:jc w:val="both"/>
        <w:rPr>
          <w:rFonts w:hint="eastAsia"/>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A job and internship feed that collects opportunities relevant to students.</w:t>
      </w:r>
    </w:p>
    <w:p w14:paraId="6EA66CEF">
      <w:pPr>
        <w:spacing w:before="60" w:after="120" w:line="360" w:lineRule="auto"/>
        <w:jc w:val="both"/>
        <w:rPr>
          <w:rFonts w:hint="eastAsia"/>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A section for students to share real interview experiences and advice.</w:t>
      </w:r>
    </w:p>
    <w:p w14:paraId="5826D226">
      <w:pPr>
        <w:spacing w:before="60" w:after="120" w:line="360" w:lineRule="auto"/>
        <w:jc w:val="both"/>
        <w:rPr>
          <w:rFonts w:hint="eastAsia"/>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A searchable bank of interview questions organized by role or company.</w:t>
      </w:r>
    </w:p>
    <w:p w14:paraId="474A2D17">
      <w:pPr>
        <w:spacing w:before="60" w:after="120" w:line="360" w:lineRule="auto"/>
        <w:jc w:val="both"/>
        <w:rPr>
          <w:rFonts w:hint="eastAsia"/>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A peer discussion space where users can ask questions and exchange tips.</w:t>
      </w:r>
    </w:p>
    <w:p w14:paraId="065BEA17">
      <w:pPr>
        <w:spacing w:before="60" w:after="120" w:line="360" w:lineRule="auto"/>
        <w:jc w:val="both"/>
        <w:rPr>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A save feature that lets users bookmark useful posts and opportunities.</w:t>
      </w:r>
    </w:p>
    <w:p w14:paraId="4E128A01">
      <w:pPr>
        <w:spacing w:before="240" w:after="120" w:line="360" w:lineRule="auto"/>
      </w:pPr>
      <w:r>
        <w:rPr>
          <w:b/>
          <w:bCs/>
          <w:color w:val="0F1F2E"/>
          <w:sz w:val="28"/>
          <w:szCs w:val="28"/>
        </w:rPr>
        <w:t>Section 4 — Success Metrics</w:t>
      </w:r>
    </w:p>
    <w:p w14:paraId="3845329D">
      <w:pPr>
        <w:spacing w:before="60" w:after="120" w:line="360" w:lineRule="auto"/>
        <w:jc w:val="both"/>
        <w:rPr>
          <w:sz w:val="24"/>
          <w:szCs w:val="24"/>
        </w:rPr>
      </w:pPr>
      <w:r>
        <w:rPr>
          <w:i/>
          <w:iCs/>
          <w:color w:val="636E78"/>
          <w:sz w:val="24"/>
          <w:szCs w:val="24"/>
        </w:rPr>
        <w:t>How will you know if your product is actually working? 3–5 specific, measurable outcomes you can test. (50–100 words)</w:t>
      </w:r>
    </w:p>
    <w:p w14:paraId="741AA8B2">
      <w:pPr>
        <w:pStyle w:val="17"/>
        <w:numPr>
          <w:ilvl w:val="0"/>
          <w:numId w:val="0"/>
        </w:numPr>
        <w:spacing w:line="360" w:lineRule="auto"/>
        <w:rPr>
          <w:rFonts w:hint="eastAsia"/>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At least 80% of test users can find one relevant job post and one interview experience within 2 minutes.</w:t>
      </w:r>
    </w:p>
    <w:p w14:paraId="7935CC27">
      <w:pPr>
        <w:pStyle w:val="17"/>
        <w:numPr>
          <w:ilvl w:val="0"/>
          <w:numId w:val="0"/>
        </w:numPr>
        <w:spacing w:line="360" w:lineRule="auto"/>
        <w:rPr>
          <w:rFonts w:hint="eastAsia"/>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At least 70% of users say the platform makes career preparation feel clearer and less stressful after a test session.</w:t>
      </w:r>
    </w:p>
    <w:p w14:paraId="23CBB63D">
      <w:pPr>
        <w:pStyle w:val="17"/>
        <w:numPr>
          <w:ilvl w:val="0"/>
          <w:numId w:val="0"/>
        </w:numPr>
        <w:spacing w:line="360" w:lineRule="auto"/>
        <w:rPr>
          <w:rFonts w:hint="eastAsia"/>
          <w:i/>
          <w:iCs/>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At least 60% of users save, share, or interact with content during the prototype test.</w:t>
      </w:r>
    </w:p>
    <w:p w14:paraId="6D6561C1">
      <w:pPr>
        <w:pStyle w:val="17"/>
        <w:numPr>
          <w:ilvl w:val="0"/>
          <w:numId w:val="0"/>
        </w:numPr>
        <w:spacing w:line="360" w:lineRule="auto"/>
        <w:rPr>
          <w:color w:val="000000" w:themeColor="text1"/>
          <w:sz w:val="24"/>
          <w:szCs w:val="24"/>
          <w14:textFill>
            <w14:solidFill>
              <w14:schemeClr w14:val="tx1"/>
            </w14:solidFill>
          </w14:textFill>
        </w:rPr>
      </w:pPr>
      <w:r>
        <w:rPr>
          <w:rFonts w:hint="eastAsia"/>
          <w:i/>
          <w:iCs/>
          <w:color w:val="000000" w:themeColor="text1"/>
          <w:sz w:val="24"/>
          <w:szCs w:val="24"/>
          <w14:textFill>
            <w14:solidFill>
              <w14:schemeClr w14:val="tx1"/>
            </w14:solidFill>
          </w14:textFill>
        </w:rPr>
        <w:t>At least 50% of users say they would return to the platform weekly during internship or job application season.</w:t>
      </w:r>
    </w:p>
    <w:p w14:paraId="4DA06509">
      <w:pPr>
        <w:spacing w:before="240" w:after="120" w:line="360" w:lineRule="auto"/>
      </w:pPr>
      <w:r>
        <w:rPr>
          <w:b/>
          <w:bCs/>
          <w:color w:val="0F1F2E"/>
          <w:sz w:val="28"/>
          <w:szCs w:val="28"/>
        </w:rPr>
        <w:t>Development Log Link</w:t>
      </w:r>
    </w:p>
    <w:p w14:paraId="1D50EB87">
      <w:pPr>
        <w:spacing w:before="60" w:after="120" w:line="360" w:lineRule="auto"/>
        <w:jc w:val="both"/>
      </w:pPr>
      <w:r>
        <w:rPr>
          <w:i/>
          <w:iCs/>
          <w:color w:val="636E78"/>
          <w:sz w:val="22"/>
          <w:szCs w:val="22"/>
        </w:rPr>
        <w:t>Paste your SharePoint Dev Log link here before submitting. Set sharing to “Anyone at XJTLU with the link can view and comment.”</w:t>
      </w:r>
    </w:p>
    <w:p w14:paraId="06DB94CF">
      <w:pPr>
        <w:keepNext w:val="0"/>
        <w:keepLines w:val="0"/>
        <w:widowControl/>
        <w:suppressLineNumbers w:val="0"/>
        <w:jc w:val="left"/>
      </w:pPr>
      <w:r>
        <w:rPr>
          <w:b/>
          <w:bCs/>
        </w:rPr>
        <w:t xml:space="preserve">Development Log (SharePoint): </w:t>
      </w:r>
    </w:p>
    <w:p w14:paraId="44686B0A">
      <w:pPr>
        <w:spacing w:before="120" w:after="120" w:line="360" w:lineRule="auto"/>
      </w:pPr>
      <w:r>
        <w:rPr>
          <w:rFonts w:hint="eastAsia"/>
        </w:rPr>
        <w:t>https://xjtlums-my.sharepoint.com/:w:/g/personal/yunchao_he23_student_xjtlu_edu_cn/IQAdS57W3pMORZ5Y1AaRxwCEAVo7XkCXy7Uec8ITGOKHV-Y?e=PVN4Qq</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AF84E">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2</w:t>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A1FB">
    <w:r>
      <w:rPr>
        <w:b/>
        <w:bCs/>
        <w:color w:val="666666"/>
        <w:sz w:val="16"/>
        <w:szCs w:val="16"/>
      </w:rPr>
      <w:t>ENT208TC</w:t>
    </w:r>
    <w:r>
      <w:rPr>
        <w:color w:val="999999"/>
        <w:sz w:val="16"/>
        <w:szCs w:val="16"/>
      </w:rPr>
      <w:t xml:space="preserve">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5F52D9"/>
    <w:multiLevelType w:val="multilevel"/>
    <w:tmpl w:val="4E5F52D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63C"/>
    <w:rsid w:val="00034D8A"/>
    <w:rsid w:val="00093010"/>
    <w:rsid w:val="000A063C"/>
    <w:rsid w:val="005B5D4A"/>
    <w:rsid w:val="00ED44AE"/>
    <w:rsid w:val="027A76EE"/>
    <w:rsid w:val="02FE20CD"/>
    <w:rsid w:val="082F4AD6"/>
    <w:rsid w:val="091D0DD3"/>
    <w:rsid w:val="0D1D75F3"/>
    <w:rsid w:val="0DA6583B"/>
    <w:rsid w:val="14665D24"/>
    <w:rsid w:val="1B5C39DD"/>
    <w:rsid w:val="1C0D4CD7"/>
    <w:rsid w:val="219F2875"/>
    <w:rsid w:val="28537F15"/>
    <w:rsid w:val="32430FFB"/>
    <w:rsid w:val="37DE5A4E"/>
    <w:rsid w:val="37F94635"/>
    <w:rsid w:val="3C925059"/>
    <w:rsid w:val="3F4168C2"/>
    <w:rsid w:val="3F544847"/>
    <w:rsid w:val="4359067E"/>
    <w:rsid w:val="464A2500"/>
    <w:rsid w:val="495E079C"/>
    <w:rsid w:val="4AAC3789"/>
    <w:rsid w:val="4F9938B0"/>
    <w:rsid w:val="50F73284"/>
    <w:rsid w:val="56BB415B"/>
    <w:rsid w:val="5952374E"/>
    <w:rsid w:val="5B01542B"/>
    <w:rsid w:val="5E6C7060"/>
    <w:rsid w:val="5E9465B6"/>
    <w:rsid w:val="5FB7255D"/>
    <w:rsid w:val="61A3723C"/>
    <w:rsid w:val="67746F85"/>
    <w:rsid w:val="67BB4BB4"/>
    <w:rsid w:val="6A3C022E"/>
    <w:rsid w:val="6C1F1BB5"/>
    <w:rsid w:val="6E7F4B8D"/>
    <w:rsid w:val="6E843F52"/>
    <w:rsid w:val="6EDC5B3C"/>
    <w:rsid w:val="6F03756C"/>
    <w:rsid w:val="740022CC"/>
    <w:rsid w:val="74583EB6"/>
    <w:rsid w:val="7A161B6E"/>
    <w:rsid w:val="7D6C2781"/>
    <w:rsid w:val="7ED405DD"/>
    <w:rsid w:val="7FD4460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zh-CN" w:eastAsia="zh-CN" w:bidi="ar-SA"/>
    </w:rPr>
  </w:style>
  <w:style w:type="paragraph" w:styleId="2">
    <w:name w:val="heading 1"/>
    <w:qFormat/>
    <w:uiPriority w:val="9"/>
    <w:pPr>
      <w:outlineLvl w:val="0"/>
    </w:pPr>
    <w:rPr>
      <w:rFonts w:ascii="Calibri" w:hAnsi="Calibri" w:eastAsia="Calibri" w:cs="Calibri"/>
      <w:color w:val="2E74B5"/>
      <w:sz w:val="32"/>
      <w:szCs w:val="32"/>
      <w:lang w:val="zh-CN" w:eastAsia="zh-C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zh-CN" w:eastAsia="zh-C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zh-CN" w:eastAsia="zh-CN" w:bidi="ar-SA"/>
    </w:rPr>
  </w:style>
  <w:style w:type="paragraph" w:styleId="5">
    <w:name w:val="heading 4"/>
    <w:semiHidden/>
    <w:unhideWhenUsed/>
    <w:qFormat/>
    <w:uiPriority w:val="9"/>
    <w:pPr>
      <w:outlineLvl w:val="3"/>
    </w:pPr>
    <w:rPr>
      <w:rFonts w:ascii="Calibri" w:hAnsi="Calibri" w:eastAsia="Calibri" w:cs="Calibri"/>
      <w:i/>
      <w:iCs/>
      <w:color w:val="2E74B5"/>
      <w:sz w:val="24"/>
      <w:szCs w:val="24"/>
      <w:lang w:val="zh-CN" w:eastAsia="zh-CN" w:bidi="ar-SA"/>
    </w:rPr>
  </w:style>
  <w:style w:type="paragraph" w:styleId="6">
    <w:name w:val="heading 5"/>
    <w:semiHidden/>
    <w:unhideWhenUsed/>
    <w:qFormat/>
    <w:uiPriority w:val="9"/>
    <w:pPr>
      <w:outlineLvl w:val="4"/>
    </w:pPr>
    <w:rPr>
      <w:rFonts w:ascii="Calibri" w:hAnsi="Calibri" w:eastAsia="Calibri" w:cs="Calibri"/>
      <w:color w:val="2E74B5"/>
      <w:sz w:val="24"/>
      <w:szCs w:val="24"/>
      <w:lang w:val="zh-CN" w:eastAsia="zh-CN" w:bidi="ar-SA"/>
    </w:rPr>
  </w:style>
  <w:style w:type="paragraph" w:styleId="7">
    <w:name w:val="heading 6"/>
    <w:semiHidden/>
    <w:unhideWhenUsed/>
    <w:qFormat/>
    <w:uiPriority w:val="9"/>
    <w:pPr>
      <w:outlineLvl w:val="5"/>
    </w:pPr>
    <w:rPr>
      <w:rFonts w:ascii="Calibri" w:hAnsi="Calibri" w:eastAsia="Calibri" w:cs="Calibri"/>
      <w:color w:val="1F4D78"/>
      <w:sz w:val="24"/>
      <w:szCs w:val="24"/>
      <w:lang w:val="zh-CN" w:eastAsia="zh-CN" w:bidi="ar-SA"/>
    </w:rPr>
  </w:style>
  <w:style w:type="character" w:default="1" w:styleId="12">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qFormat/>
    <w:uiPriority w:val="99"/>
    <w:rPr>
      <w:rFonts w:ascii="Calibri" w:hAnsi="Calibri" w:eastAsia="Calibri" w:cs="Calibri"/>
      <w:sz w:val="20"/>
      <w:szCs w:val="20"/>
      <w:lang w:val="zh-CN" w:eastAsia="zh-CN" w:bidi="ar-SA"/>
    </w:rPr>
  </w:style>
  <w:style w:type="paragraph" w:styleId="9">
    <w:name w:val="footnote text"/>
    <w:link w:val="18"/>
    <w:semiHidden/>
    <w:unhideWhenUsed/>
    <w:uiPriority w:val="99"/>
    <w:rPr>
      <w:rFonts w:ascii="Calibri" w:hAnsi="Calibri" w:eastAsia="Calibri" w:cs="Calibri"/>
      <w:sz w:val="20"/>
      <w:szCs w:val="20"/>
      <w:lang w:val="zh-CN" w:eastAsia="zh-CN" w:bidi="ar-SA"/>
    </w:rPr>
  </w:style>
  <w:style w:type="paragraph" w:styleId="10">
    <w:name w:val="Title"/>
    <w:qFormat/>
    <w:uiPriority w:val="10"/>
    <w:rPr>
      <w:rFonts w:ascii="Calibri" w:hAnsi="Calibri" w:eastAsia="Calibri" w:cs="Calibri"/>
      <w:sz w:val="56"/>
      <w:szCs w:val="56"/>
      <w:lang w:val="zh-CN" w:eastAsia="zh-CN" w:bidi="ar-SA"/>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customStyle="1" w:styleId="16">
    <w:name w:val="Strong1"/>
    <w:qFormat/>
    <w:uiPriority w:val="0"/>
    <w:rPr>
      <w:rFonts w:ascii="Calibri" w:hAnsi="Calibri" w:eastAsia="Calibri" w:cs="Calibri"/>
      <w:b/>
      <w:bCs/>
      <w:sz w:val="24"/>
      <w:szCs w:val="24"/>
      <w:lang w:val="zh-CN" w:eastAsia="zh-CN" w:bidi="ar-SA"/>
    </w:rPr>
  </w:style>
  <w:style w:type="paragraph" w:styleId="17">
    <w:name w:val="List Paragraph"/>
    <w:qFormat/>
    <w:uiPriority w:val="0"/>
    <w:rPr>
      <w:rFonts w:ascii="Calibri" w:hAnsi="Calibri" w:eastAsia="Calibri" w:cs="Calibri"/>
      <w:sz w:val="24"/>
      <w:szCs w:val="24"/>
      <w:lang w:val="zh-CN" w:eastAsia="zh-CN" w:bidi="ar-SA"/>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232</Words>
  <Characters>1146</Characters>
  <Lines>19</Lines>
  <Paragraphs>5</Paragraphs>
  <TotalTime>96</TotalTime>
  <ScaleCrop>false</ScaleCrop>
  <LinksUpToDate>false</LinksUpToDate>
  <CharactersWithSpaces>1341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2026-03-20T00:11:00Z</dcterms:created>
  <dc:creator>Un-named</dc:creator>
  <cp:lastModifiedBy>Lenovo</cp:lastModifiedBy>
  <dcterms:modified xsi:type="dcterms:W3CDTF">2026-03-27T02:37:22Z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eyJoZGlkIjoiNTRkYWM2YzExZWU1MTQxMjcxZTgwYWUzYTU2YzNhMjIiLCJ1c2VySWQiOiI4NTYxNzA3MTYifQ==</vt:lpwstr>
  </property>
  <property fmtid="{D5CDD505-2E9C-101B-9397-08002B2CF9AE}" pid="3" name="KSOProductBuildVer">
    <vt:lpwstr>2052-12.1.0.25225</vt:lpwstr>
  </property>
  <property fmtid="{D5CDD505-2E9C-101B-9397-08002B2CF9AE}" pid="4" name="ICV">
    <vt:lpwstr>EB0314580FE5476BB5FA807B3833AFA2_12</vt:lpwstr>
  </property>
</Properties>
</file>