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961D" w14:textId="77777777" w:rsidR="006338F8" w:rsidRPr="00041CB8" w:rsidRDefault="006338F8" w:rsidP="006338F8">
      <w:pPr>
        <w:pStyle w:val="a6"/>
        <w:rPr>
          <w:lang w:val="en-GB"/>
        </w:rPr>
      </w:pPr>
      <w:r w:rsidRPr="00041CB8">
        <w:rPr>
          <w:lang w:val="en-GB"/>
        </w:rPr>
        <w:t>Summary Post</w:t>
      </w:r>
    </w:p>
    <w:p w14:paraId="2B6C616B" w14:textId="77777777" w:rsidR="00B40CAA" w:rsidRPr="00B40CAA" w:rsidRDefault="00B40CAA" w:rsidP="00B40CAA">
      <w:pPr>
        <w:widowControl/>
        <w:rPr>
          <w:rFonts w:ascii="Arial" w:hAnsi="Arial" w:cs="Arial"/>
          <w:szCs w:val="24"/>
        </w:rPr>
      </w:pPr>
      <w:r w:rsidRPr="00B40CAA">
        <w:rPr>
          <w:rFonts w:ascii="Arial" w:hAnsi="Arial" w:cs="Arial"/>
          <w:szCs w:val="24"/>
        </w:rPr>
        <w:t>With reference to the initial post and the peers' feedback, Information Security Manager (ISM) and Data Protection Officer (DPO) play a critical role in this case study for complying with the GDPR.</w:t>
      </w:r>
    </w:p>
    <w:p w14:paraId="77E2099A" w14:textId="77777777" w:rsidR="00B40CAA" w:rsidRPr="00B40CAA" w:rsidRDefault="00B40CAA" w:rsidP="00B40CAA">
      <w:pPr>
        <w:widowControl/>
        <w:rPr>
          <w:rFonts w:ascii="Arial" w:hAnsi="Arial" w:cs="Arial"/>
          <w:szCs w:val="24"/>
        </w:rPr>
      </w:pPr>
      <w:r w:rsidRPr="00B40CAA">
        <w:rPr>
          <w:rFonts w:ascii="Arial" w:hAnsi="Arial" w:cs="Arial"/>
          <w:szCs w:val="24"/>
        </w:rPr>
        <w:t>Besides of straighten their confidentiality, avoiding employees using personal devices, data protection policies for pursuing available remedies and. There are alternative mechanisms that could be considered such as data encoded as part of security precautions (</w:t>
      </w:r>
      <w:proofErr w:type="spellStart"/>
      <w:r w:rsidRPr="00B40CAA">
        <w:rPr>
          <w:rFonts w:ascii="Arial" w:hAnsi="Arial" w:cs="Arial"/>
          <w:szCs w:val="24"/>
        </w:rPr>
        <w:t>Beran</w:t>
      </w:r>
      <w:proofErr w:type="spellEnd"/>
      <w:r w:rsidRPr="00B40CAA">
        <w:rPr>
          <w:rFonts w:ascii="Arial" w:hAnsi="Arial" w:cs="Arial"/>
          <w:szCs w:val="24"/>
        </w:rPr>
        <w:t>, 2022).</w:t>
      </w:r>
    </w:p>
    <w:p w14:paraId="359760F1" w14:textId="77777777" w:rsidR="00B40CAA" w:rsidRPr="00B40CAA" w:rsidRDefault="00B40CAA" w:rsidP="00B40CAA">
      <w:pPr>
        <w:widowControl/>
        <w:rPr>
          <w:rFonts w:ascii="Arial" w:hAnsi="Arial" w:cs="Arial"/>
          <w:szCs w:val="24"/>
        </w:rPr>
      </w:pPr>
      <w:r w:rsidRPr="00B40CAA">
        <w:rPr>
          <w:rFonts w:ascii="Arial" w:hAnsi="Arial" w:cs="Arial"/>
          <w:szCs w:val="24"/>
        </w:rPr>
        <w:t xml:space="preserve">The organization should identify the sensitive data that requires to protect and separate them. In the human resources department, the resumes, background checks, </w:t>
      </w:r>
      <w:proofErr w:type="spellStart"/>
      <w:r w:rsidRPr="00B40CAA">
        <w:rPr>
          <w:rFonts w:ascii="Arial" w:hAnsi="Arial" w:cs="Arial"/>
          <w:szCs w:val="24"/>
        </w:rPr>
        <w:t>paycheck</w:t>
      </w:r>
      <w:proofErr w:type="spellEnd"/>
      <w:r w:rsidRPr="00B40CAA">
        <w:rPr>
          <w:rFonts w:ascii="Arial" w:hAnsi="Arial" w:cs="Arial"/>
          <w:szCs w:val="24"/>
        </w:rPr>
        <w:t xml:space="preserve"> records could be stored in a different location. Grant access to employees with the least privilege principle (CISA, 2013) and the Need-to-know security principle (Andreas, 2021) to limit the information accessing with confidentiality to their employees. Moreover, the data could apply granular encryption broadly to ensure sensitive data security even though it has been accessed by an improper person. In this scenario, the interviewer might not require having access to the interviewees’ photo, full name, and full home address. Personal information could be encrypted or partially masked which could mitigate the inappropriate behaviour from employees or even former employees mentioned in the case who causing data disclosure potentially (Data Protection Commission, 2020).</w:t>
      </w:r>
    </w:p>
    <w:p w14:paraId="0B6ECB1B" w14:textId="77777777" w:rsidR="00B40CAA" w:rsidRPr="00B40CAA" w:rsidRDefault="00B40CAA" w:rsidP="00B40CAA">
      <w:pPr>
        <w:widowControl/>
        <w:rPr>
          <w:rFonts w:ascii="Arial" w:hAnsi="Arial" w:cs="Arial"/>
          <w:szCs w:val="24"/>
        </w:rPr>
      </w:pPr>
      <w:r w:rsidRPr="00B40CAA">
        <w:rPr>
          <w:rFonts w:ascii="Arial" w:hAnsi="Arial" w:cs="Arial"/>
          <w:szCs w:val="24"/>
        </w:rPr>
        <w:t>Indeed, Article 37(1) of GDPR requires the designation of a DPO where personal data processing is carried out by a public authority or body (Michael, 2022). Regarding the designation, GDPR does allow ISM to be DPO with “staff member of the controller or processor or fulfil the tasks on the basis of a service contract.” GDPR, Article 37(6) (EUR-Lex, 2016). However, the DPO function should be independent of all functions ideally, to avoid conflicts of interest with the staff members and be able to report to the executive independently. This retailer organization must nominate a DPO to instruct and advise the client and employees about their obligations under the GDPR regulation. The ISM of this retailer organization should governance the procedure and process to ensure all the above initiatives run smoothly, as well as data loss and fraud prevention.</w:t>
      </w:r>
    </w:p>
    <w:p w14:paraId="15914535" w14:textId="37896DC3" w:rsidR="00BC61E2" w:rsidRDefault="00B40CAA" w:rsidP="00B40CAA">
      <w:pPr>
        <w:widowControl/>
        <w:rPr>
          <w:rFonts w:ascii="Arial" w:hAnsi="Arial" w:cs="Arial"/>
          <w:szCs w:val="24"/>
        </w:rPr>
      </w:pPr>
      <w:r w:rsidRPr="00B40CAA">
        <w:rPr>
          <w:rFonts w:ascii="Arial" w:hAnsi="Arial" w:cs="Arial"/>
          <w:szCs w:val="24"/>
        </w:rPr>
        <w:t>In conclusion, to comply with the GDPR and mitigate the issue, ISM and DPO both act to protect the customer data and the organization. Organization as data controllers must secure their data from employees or even former employees to avoid inappropriate behaviour which causes data breaches.</w:t>
      </w:r>
    </w:p>
    <w:p w14:paraId="2E44ACF4" w14:textId="77777777" w:rsidR="00F07995" w:rsidRDefault="00F07995" w:rsidP="00B40CAA">
      <w:pPr>
        <w:widowControl/>
        <w:rPr>
          <w:rFonts w:ascii="Arial" w:hAnsi="Arial" w:cs="Arial"/>
          <w:kern w:val="0"/>
          <w:szCs w:val="24"/>
          <w:lang w:val="en-US"/>
        </w:rPr>
      </w:pPr>
    </w:p>
    <w:p w14:paraId="2A610595" w14:textId="6EDD7CAE" w:rsidR="008F229E" w:rsidRPr="00A279F3" w:rsidRDefault="008F229E" w:rsidP="008F229E">
      <w:pPr>
        <w:rPr>
          <w:rFonts w:ascii="Arial" w:hAnsi="Arial" w:cs="Arial"/>
          <w:szCs w:val="24"/>
        </w:rPr>
      </w:pPr>
      <w:r w:rsidRPr="00A279F3">
        <w:rPr>
          <w:rFonts w:ascii="Arial" w:hAnsi="Arial" w:cs="Arial"/>
          <w:szCs w:val="24"/>
        </w:rPr>
        <w:t>References:</w:t>
      </w:r>
    </w:p>
    <w:p w14:paraId="086A6EC7" w14:textId="77777777" w:rsidR="0068514D" w:rsidRDefault="0068514D" w:rsidP="0068514D">
      <w:pPr>
        <w:rPr>
          <w:rFonts w:ascii="Arial" w:hAnsi="Arial" w:cs="Arial"/>
          <w:szCs w:val="24"/>
        </w:rPr>
      </w:pPr>
      <w:r w:rsidRPr="005A2FAB">
        <w:rPr>
          <w:rFonts w:ascii="Arial" w:eastAsia="SimSun" w:hAnsi="Arial" w:cs="Arial"/>
          <w:szCs w:val="24"/>
        </w:rPr>
        <w:t xml:space="preserve">Andreas, W. (Feb 03, 2021) The Need-to-know security principle. </w:t>
      </w:r>
      <w:r w:rsidRPr="005A2FAB">
        <w:rPr>
          <w:rFonts w:ascii="Arial" w:eastAsia="SimSun" w:hAnsi="Arial" w:cs="Arial"/>
          <w:i/>
          <w:iCs/>
          <w:szCs w:val="24"/>
        </w:rPr>
        <w:t>Security</w:t>
      </w:r>
      <w:r w:rsidRPr="005A2FAB">
        <w:rPr>
          <w:rFonts w:ascii="Arial" w:eastAsia="SimSun" w:hAnsi="Arial" w:cs="Arial"/>
          <w:szCs w:val="24"/>
        </w:rPr>
        <w:t>.</w:t>
      </w:r>
      <w:r>
        <w:rPr>
          <w:rFonts w:ascii="Arial" w:eastAsia="SimSun" w:hAnsi="Arial" w:cs="Arial"/>
          <w:szCs w:val="24"/>
        </w:rPr>
        <w:t xml:space="preserve"> </w:t>
      </w:r>
      <w:r w:rsidRPr="00A279F3">
        <w:rPr>
          <w:rFonts w:ascii="Arial" w:hAnsi="Arial" w:cs="Arial"/>
          <w:szCs w:val="24"/>
        </w:rPr>
        <w:t>Available from:</w:t>
      </w:r>
      <w:r>
        <w:rPr>
          <w:rFonts w:ascii="Arial" w:hAnsi="Arial" w:cs="Arial"/>
          <w:szCs w:val="24"/>
        </w:rPr>
        <w:t xml:space="preserve"> </w:t>
      </w:r>
      <w:r w:rsidRPr="005A2FAB">
        <w:rPr>
          <w:rFonts w:ascii="Arial" w:hAnsi="Arial" w:cs="Arial"/>
          <w:szCs w:val="24"/>
        </w:rPr>
        <w:t>https://techcommunity.microsoft.com/t5/azure-sql-blog/security-the-need-to-know-principle/ba-p/2112393</w:t>
      </w:r>
      <w:r w:rsidRPr="00A279F3">
        <w:rPr>
          <w:rFonts w:ascii="Arial" w:hAnsi="Arial" w:cs="Arial"/>
          <w:szCs w:val="24"/>
        </w:rPr>
        <w:t xml:space="preserve"> [Accessed </w:t>
      </w:r>
      <w:r>
        <w:rPr>
          <w:rFonts w:ascii="Arial" w:hAnsi="Arial" w:cs="Arial"/>
          <w:szCs w:val="24"/>
        </w:rPr>
        <w:t>5 February 2022</w:t>
      </w:r>
      <w:r w:rsidRPr="00A279F3">
        <w:rPr>
          <w:rFonts w:ascii="Arial" w:hAnsi="Arial" w:cs="Arial"/>
          <w:szCs w:val="24"/>
        </w:rPr>
        <w:t>].</w:t>
      </w:r>
    </w:p>
    <w:p w14:paraId="2A8740FF" w14:textId="77777777" w:rsidR="0068514D" w:rsidRPr="00387B2B" w:rsidRDefault="0068514D" w:rsidP="0068514D">
      <w:pPr>
        <w:rPr>
          <w:rFonts w:ascii="Arial" w:hAnsi="Arial" w:cs="Arial" w:hint="eastAsia"/>
          <w:szCs w:val="24"/>
        </w:rPr>
      </w:pPr>
      <w:r>
        <w:rPr>
          <w:rFonts w:ascii="Arial" w:hAnsi="Arial" w:cs="Arial" w:hint="eastAsia"/>
          <w:szCs w:val="24"/>
        </w:rPr>
        <w:t>C</w:t>
      </w:r>
      <w:r>
        <w:rPr>
          <w:rFonts w:ascii="Arial" w:hAnsi="Arial" w:cs="Arial"/>
          <w:szCs w:val="24"/>
        </w:rPr>
        <w:t>ISA. (</w:t>
      </w:r>
      <w:r w:rsidRPr="00387B2B">
        <w:rPr>
          <w:rFonts w:ascii="Arial" w:hAnsi="Arial" w:cs="Arial"/>
          <w:szCs w:val="24"/>
        </w:rPr>
        <w:t>May 10, 2013</w:t>
      </w:r>
      <w:r>
        <w:rPr>
          <w:rFonts w:ascii="Arial" w:hAnsi="Arial" w:cs="Arial"/>
          <w:szCs w:val="24"/>
        </w:rPr>
        <w:t xml:space="preserve">) </w:t>
      </w:r>
      <w:r w:rsidRPr="00387B2B">
        <w:rPr>
          <w:rFonts w:ascii="Arial" w:hAnsi="Arial" w:cs="Arial"/>
          <w:szCs w:val="24"/>
        </w:rPr>
        <w:t>Least Privilege</w:t>
      </w:r>
      <w:r>
        <w:rPr>
          <w:rFonts w:ascii="Arial" w:hAnsi="Arial" w:cs="Arial"/>
          <w:szCs w:val="24"/>
        </w:rPr>
        <w:t xml:space="preserve">. </w:t>
      </w:r>
      <w:r w:rsidRPr="00387B2B">
        <w:rPr>
          <w:rFonts w:ascii="Arial" w:hAnsi="Arial" w:cs="Arial"/>
          <w:szCs w:val="24"/>
        </w:rPr>
        <w:t>Principles</w:t>
      </w:r>
      <w:r>
        <w:rPr>
          <w:rFonts w:ascii="Arial" w:hAnsi="Arial" w:cs="Arial"/>
          <w:szCs w:val="24"/>
        </w:rPr>
        <w:t xml:space="preserve">. </w:t>
      </w:r>
      <w:r w:rsidRPr="00A279F3">
        <w:rPr>
          <w:rFonts w:ascii="Arial" w:hAnsi="Arial" w:cs="Arial"/>
          <w:szCs w:val="24"/>
        </w:rPr>
        <w:t>Available from:</w:t>
      </w:r>
      <w:r>
        <w:rPr>
          <w:rFonts w:ascii="Arial" w:hAnsi="Arial" w:cs="Arial"/>
          <w:szCs w:val="24"/>
        </w:rPr>
        <w:t xml:space="preserve"> </w:t>
      </w:r>
      <w:r w:rsidRPr="00387B2B">
        <w:rPr>
          <w:rFonts w:ascii="Arial" w:hAnsi="Arial" w:cs="Arial"/>
          <w:szCs w:val="24"/>
        </w:rPr>
        <w:t>https://www.cisa.gov/uscert/bsi/articles/knowledge/principles/least-privilege</w:t>
      </w:r>
      <w:r w:rsidRPr="00A279F3">
        <w:rPr>
          <w:rFonts w:ascii="Arial" w:hAnsi="Arial" w:cs="Arial"/>
          <w:szCs w:val="24"/>
        </w:rPr>
        <w:t xml:space="preserve"> [Accessed </w:t>
      </w:r>
      <w:r>
        <w:rPr>
          <w:rFonts w:ascii="Arial" w:hAnsi="Arial" w:cs="Arial"/>
          <w:szCs w:val="24"/>
        </w:rPr>
        <w:t>5 February 2022</w:t>
      </w:r>
      <w:r w:rsidRPr="00A279F3">
        <w:rPr>
          <w:rFonts w:ascii="Arial" w:hAnsi="Arial" w:cs="Arial"/>
          <w:szCs w:val="24"/>
        </w:rPr>
        <w:t>].</w:t>
      </w:r>
    </w:p>
    <w:p w14:paraId="671FEF3C" w14:textId="23FCE27C" w:rsidR="008F229E" w:rsidRPr="00A279F3" w:rsidRDefault="008F229E" w:rsidP="008F229E">
      <w:pPr>
        <w:rPr>
          <w:rFonts w:ascii="Arial" w:hAnsi="Arial" w:cs="Arial"/>
          <w:szCs w:val="24"/>
        </w:rPr>
      </w:pPr>
      <w:r w:rsidRPr="00A279F3">
        <w:rPr>
          <w:rFonts w:ascii="Arial" w:hAnsi="Arial" w:cs="Arial"/>
          <w:szCs w:val="24"/>
        </w:rPr>
        <w:t>Data Protection Commission</w:t>
      </w:r>
      <w:r w:rsidR="00F07995">
        <w:rPr>
          <w:rFonts w:ascii="Arial" w:hAnsi="Arial" w:cs="Arial"/>
          <w:szCs w:val="24"/>
        </w:rPr>
        <w:t>.</w:t>
      </w:r>
      <w:r w:rsidRPr="00A279F3">
        <w:rPr>
          <w:rFonts w:ascii="Arial" w:hAnsi="Arial" w:cs="Arial"/>
          <w:szCs w:val="24"/>
        </w:rPr>
        <w:t xml:space="preserve"> (2020) Case Study 10: Disclosure of Personal Data via a Social Media App. </w:t>
      </w:r>
      <w:r w:rsidRPr="00A279F3">
        <w:rPr>
          <w:rFonts w:ascii="Arial" w:hAnsi="Arial" w:cs="Arial"/>
          <w:i/>
          <w:iCs/>
          <w:szCs w:val="24"/>
        </w:rPr>
        <w:t>Pre-GDPR</w:t>
      </w:r>
      <w:r w:rsidRPr="00A279F3">
        <w:rPr>
          <w:rFonts w:ascii="Arial" w:hAnsi="Arial" w:cs="Arial"/>
          <w:szCs w:val="24"/>
        </w:rPr>
        <w:t xml:space="preserve">. Available from: https://www.dataprotection.ie/en/pre-gdpr/case-studies#201710 [Accessed </w:t>
      </w:r>
      <w:r w:rsidR="0027177C">
        <w:rPr>
          <w:rFonts w:ascii="Arial" w:hAnsi="Arial" w:cs="Arial"/>
          <w:szCs w:val="24"/>
        </w:rPr>
        <w:t>5 February 2022</w:t>
      </w:r>
      <w:r w:rsidRPr="00A279F3">
        <w:rPr>
          <w:rFonts w:ascii="Arial" w:hAnsi="Arial" w:cs="Arial"/>
          <w:szCs w:val="24"/>
        </w:rPr>
        <w:t>].</w:t>
      </w:r>
    </w:p>
    <w:p w14:paraId="0C665EBE" w14:textId="2BD66D4C" w:rsidR="009000E4" w:rsidRDefault="001400B6" w:rsidP="008F229E">
      <w:pPr>
        <w:rPr>
          <w:rFonts w:ascii="Arial" w:eastAsia="SimSun" w:hAnsi="Arial" w:cs="Arial"/>
          <w:szCs w:val="24"/>
        </w:rPr>
      </w:pPr>
      <w:r w:rsidRPr="001400B6">
        <w:rPr>
          <w:rFonts w:ascii="Arial" w:eastAsia="SimSun" w:hAnsi="Arial" w:cs="Arial"/>
          <w:szCs w:val="24"/>
        </w:rPr>
        <w:t>EUR-Lex</w:t>
      </w:r>
      <w:r w:rsidR="00387B2B">
        <w:rPr>
          <w:rFonts w:ascii="Arial" w:eastAsia="SimSun" w:hAnsi="Arial" w:cs="Arial"/>
          <w:szCs w:val="24"/>
        </w:rPr>
        <w:t>.</w:t>
      </w:r>
      <w:r w:rsidRPr="001400B6">
        <w:rPr>
          <w:rFonts w:ascii="Arial" w:eastAsia="SimSun" w:hAnsi="Arial" w:cs="Arial"/>
          <w:szCs w:val="24"/>
        </w:rPr>
        <w:t xml:space="preserve"> </w:t>
      </w:r>
      <w:r>
        <w:rPr>
          <w:rFonts w:ascii="Arial" w:eastAsia="SimSun" w:hAnsi="Arial" w:cs="Arial"/>
          <w:szCs w:val="24"/>
        </w:rPr>
        <w:t>(</w:t>
      </w:r>
      <w:r w:rsidRPr="001400B6">
        <w:rPr>
          <w:rFonts w:ascii="Arial" w:eastAsia="SimSun" w:hAnsi="Arial" w:cs="Arial"/>
          <w:szCs w:val="24"/>
        </w:rPr>
        <w:t>April</w:t>
      </w:r>
      <w:r w:rsidR="000F399B">
        <w:rPr>
          <w:rFonts w:ascii="Arial" w:eastAsia="SimSun" w:hAnsi="Arial" w:cs="Arial"/>
          <w:szCs w:val="24"/>
        </w:rPr>
        <w:t xml:space="preserve"> </w:t>
      </w:r>
      <w:r w:rsidR="000F399B" w:rsidRPr="000F399B">
        <w:rPr>
          <w:rFonts w:ascii="Arial" w:eastAsia="SimSun" w:hAnsi="Arial" w:cs="Arial"/>
          <w:szCs w:val="24"/>
        </w:rPr>
        <w:t>27</w:t>
      </w:r>
      <w:r w:rsidR="000F399B">
        <w:rPr>
          <w:rFonts w:ascii="Arial" w:eastAsia="SimSun" w:hAnsi="Arial" w:cs="Arial"/>
          <w:szCs w:val="24"/>
        </w:rPr>
        <w:t>,</w:t>
      </w:r>
      <w:r w:rsidRPr="001400B6">
        <w:rPr>
          <w:rFonts w:ascii="Arial" w:eastAsia="SimSun" w:hAnsi="Arial" w:cs="Arial"/>
          <w:szCs w:val="24"/>
        </w:rPr>
        <w:t xml:space="preserve"> 2016</w:t>
      </w:r>
      <w:r>
        <w:rPr>
          <w:rFonts w:ascii="Arial" w:eastAsia="SimSun" w:hAnsi="Arial" w:cs="Arial"/>
          <w:szCs w:val="24"/>
        </w:rPr>
        <w:t>)</w:t>
      </w:r>
      <w:r w:rsidRPr="001400B6">
        <w:rPr>
          <w:rFonts w:ascii="Arial" w:eastAsia="SimSun" w:hAnsi="Arial" w:cs="Arial"/>
          <w:szCs w:val="24"/>
        </w:rPr>
        <w:t xml:space="preserve"> Regulations</w:t>
      </w:r>
      <w:r>
        <w:rPr>
          <w:rFonts w:ascii="Arial" w:eastAsia="SimSun" w:hAnsi="Arial" w:cs="Arial"/>
          <w:szCs w:val="24"/>
        </w:rPr>
        <w:t>.</w:t>
      </w:r>
      <w:r w:rsidRPr="001400B6">
        <w:rPr>
          <w:rFonts w:ascii="Arial" w:eastAsia="SimSun" w:hAnsi="Arial" w:cs="Arial"/>
          <w:szCs w:val="24"/>
        </w:rPr>
        <w:t xml:space="preserve"> </w:t>
      </w:r>
      <w:r w:rsidR="009000E4" w:rsidRPr="001400B6">
        <w:rPr>
          <w:rFonts w:ascii="Arial" w:eastAsia="SimSun" w:hAnsi="Arial" w:cs="Arial"/>
          <w:i/>
          <w:iCs/>
          <w:szCs w:val="24"/>
        </w:rPr>
        <w:t>Official Journal of the European Union</w:t>
      </w:r>
      <w:r>
        <w:rPr>
          <w:rFonts w:ascii="Arial" w:eastAsia="SimSun" w:hAnsi="Arial" w:cs="Arial"/>
          <w:szCs w:val="24"/>
        </w:rPr>
        <w:t>.</w:t>
      </w:r>
      <w:r w:rsidRPr="001400B6">
        <w:rPr>
          <w:rFonts w:ascii="Arial" w:hAnsi="Arial" w:cs="Arial"/>
          <w:szCs w:val="24"/>
        </w:rPr>
        <w:t xml:space="preserve"> </w:t>
      </w:r>
      <w:r w:rsidRPr="00A279F3">
        <w:rPr>
          <w:rFonts w:ascii="Arial" w:hAnsi="Arial" w:cs="Arial"/>
          <w:szCs w:val="24"/>
        </w:rPr>
        <w:t>Available from:</w:t>
      </w:r>
      <w:r>
        <w:rPr>
          <w:rFonts w:ascii="Arial" w:hAnsi="Arial" w:cs="Arial"/>
          <w:szCs w:val="24"/>
        </w:rPr>
        <w:t xml:space="preserve"> </w:t>
      </w:r>
      <w:r w:rsidR="009000E4" w:rsidRPr="009000E4">
        <w:rPr>
          <w:rFonts w:ascii="Arial" w:eastAsia="SimSun" w:hAnsi="Arial" w:cs="Arial"/>
          <w:szCs w:val="24"/>
        </w:rPr>
        <w:t>https://eur-lex.europa.eu/legal-content/EN/TXT/PDF/?uri=CELEX:32016R0679&amp;from=EN</w:t>
      </w:r>
      <w:r>
        <w:rPr>
          <w:rFonts w:ascii="Arial" w:eastAsia="SimSun" w:hAnsi="Arial" w:cs="Arial"/>
          <w:szCs w:val="24"/>
        </w:rPr>
        <w:t xml:space="preserve"> </w:t>
      </w:r>
      <w:r w:rsidRPr="00A279F3">
        <w:rPr>
          <w:rFonts w:ascii="Arial" w:hAnsi="Arial" w:cs="Arial"/>
          <w:szCs w:val="24"/>
        </w:rPr>
        <w:t xml:space="preserve">[Accessed </w:t>
      </w:r>
      <w:r>
        <w:rPr>
          <w:rFonts w:ascii="Arial" w:hAnsi="Arial" w:cs="Arial"/>
          <w:szCs w:val="24"/>
        </w:rPr>
        <w:t>5</w:t>
      </w:r>
      <w:r w:rsidRPr="00A279F3">
        <w:rPr>
          <w:rFonts w:ascii="Arial" w:hAnsi="Arial" w:cs="Arial"/>
          <w:szCs w:val="24"/>
        </w:rPr>
        <w:t xml:space="preserve"> </w:t>
      </w:r>
      <w:r>
        <w:rPr>
          <w:rFonts w:ascii="Arial" w:hAnsi="Arial" w:cs="Arial"/>
          <w:szCs w:val="24"/>
        </w:rPr>
        <w:t>February</w:t>
      </w:r>
      <w:r w:rsidRPr="00A279F3">
        <w:rPr>
          <w:rFonts w:ascii="Arial" w:hAnsi="Arial" w:cs="Arial"/>
          <w:szCs w:val="24"/>
        </w:rPr>
        <w:t xml:space="preserve"> 2022].</w:t>
      </w:r>
    </w:p>
    <w:sectPr w:rsidR="009000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CED"/>
    <w:multiLevelType w:val="multilevel"/>
    <w:tmpl w:val="BB9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E6"/>
    <w:rsid w:val="000039E6"/>
    <w:rsid w:val="000459C0"/>
    <w:rsid w:val="000F399B"/>
    <w:rsid w:val="00107141"/>
    <w:rsid w:val="001400B6"/>
    <w:rsid w:val="001601B3"/>
    <w:rsid w:val="00161993"/>
    <w:rsid w:val="001D4629"/>
    <w:rsid w:val="001E3ED6"/>
    <w:rsid w:val="001F07DE"/>
    <w:rsid w:val="0027177C"/>
    <w:rsid w:val="002A088D"/>
    <w:rsid w:val="00355F2A"/>
    <w:rsid w:val="00387B2B"/>
    <w:rsid w:val="003A04D9"/>
    <w:rsid w:val="003C031C"/>
    <w:rsid w:val="003E5121"/>
    <w:rsid w:val="00403693"/>
    <w:rsid w:val="00404C1A"/>
    <w:rsid w:val="00451F24"/>
    <w:rsid w:val="004A5179"/>
    <w:rsid w:val="004A52DC"/>
    <w:rsid w:val="004F5524"/>
    <w:rsid w:val="00510B2B"/>
    <w:rsid w:val="00555101"/>
    <w:rsid w:val="0056222C"/>
    <w:rsid w:val="00590155"/>
    <w:rsid w:val="005A2FAB"/>
    <w:rsid w:val="005A59B8"/>
    <w:rsid w:val="005C3F28"/>
    <w:rsid w:val="005D0A61"/>
    <w:rsid w:val="005D77C0"/>
    <w:rsid w:val="005E4AF4"/>
    <w:rsid w:val="005E4D38"/>
    <w:rsid w:val="00602E1D"/>
    <w:rsid w:val="006338F8"/>
    <w:rsid w:val="006773D0"/>
    <w:rsid w:val="0068514D"/>
    <w:rsid w:val="006A5118"/>
    <w:rsid w:val="006C1075"/>
    <w:rsid w:val="006C6FBC"/>
    <w:rsid w:val="006C7641"/>
    <w:rsid w:val="00715236"/>
    <w:rsid w:val="007708F3"/>
    <w:rsid w:val="007F4B1C"/>
    <w:rsid w:val="00800314"/>
    <w:rsid w:val="00807BE6"/>
    <w:rsid w:val="008401FE"/>
    <w:rsid w:val="00847F3A"/>
    <w:rsid w:val="0089785D"/>
    <w:rsid w:val="008D3575"/>
    <w:rsid w:val="008F229E"/>
    <w:rsid w:val="009000E4"/>
    <w:rsid w:val="00933923"/>
    <w:rsid w:val="009F6705"/>
    <w:rsid w:val="00AD7CE2"/>
    <w:rsid w:val="00B15FF0"/>
    <w:rsid w:val="00B40CAA"/>
    <w:rsid w:val="00BC0309"/>
    <w:rsid w:val="00BC61E2"/>
    <w:rsid w:val="00C0103C"/>
    <w:rsid w:val="00C41639"/>
    <w:rsid w:val="00C578BC"/>
    <w:rsid w:val="00C8414C"/>
    <w:rsid w:val="00CA77E1"/>
    <w:rsid w:val="00CD660F"/>
    <w:rsid w:val="00CE6EA3"/>
    <w:rsid w:val="00CF040A"/>
    <w:rsid w:val="00D01999"/>
    <w:rsid w:val="00D74740"/>
    <w:rsid w:val="00DC4DF6"/>
    <w:rsid w:val="00DE316E"/>
    <w:rsid w:val="00DF4577"/>
    <w:rsid w:val="00E04A07"/>
    <w:rsid w:val="00EA2CD1"/>
    <w:rsid w:val="00EA4A5C"/>
    <w:rsid w:val="00EA66D2"/>
    <w:rsid w:val="00F0419B"/>
    <w:rsid w:val="00F06052"/>
    <w:rsid w:val="00F07995"/>
    <w:rsid w:val="00F867AD"/>
    <w:rsid w:val="00FF4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7D8E"/>
  <w15:chartTrackingRefBased/>
  <w15:docId w15:val="{CBAB3B1F-E4BD-48FB-85B1-3AAFCBC6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7BE6"/>
    <w:pPr>
      <w:widowControl/>
      <w:spacing w:before="100" w:beforeAutospacing="1" w:after="100" w:afterAutospacing="1"/>
    </w:pPr>
    <w:rPr>
      <w:rFonts w:ascii="Times New Roman" w:eastAsia="Times New Roman" w:hAnsi="Times New Roman" w:cs="Times New Roman"/>
      <w:kern w:val="0"/>
      <w:szCs w:val="24"/>
      <w:lang w:val="en-US"/>
    </w:rPr>
  </w:style>
  <w:style w:type="character" w:styleId="a3">
    <w:name w:val="Hyperlink"/>
    <w:basedOn w:val="a0"/>
    <w:uiPriority w:val="99"/>
    <w:unhideWhenUsed/>
    <w:rsid w:val="00CD660F"/>
    <w:rPr>
      <w:color w:val="0563C1" w:themeColor="hyperlink"/>
      <w:u w:val="single"/>
    </w:rPr>
  </w:style>
  <w:style w:type="character" w:styleId="a4">
    <w:name w:val="Unresolved Mention"/>
    <w:basedOn w:val="a0"/>
    <w:uiPriority w:val="99"/>
    <w:semiHidden/>
    <w:unhideWhenUsed/>
    <w:rsid w:val="00CD660F"/>
    <w:rPr>
      <w:color w:val="605E5C"/>
      <w:shd w:val="clear" w:color="auto" w:fill="E1DFDD"/>
    </w:rPr>
  </w:style>
  <w:style w:type="character" w:styleId="a5">
    <w:name w:val="FollowedHyperlink"/>
    <w:basedOn w:val="a0"/>
    <w:uiPriority w:val="99"/>
    <w:semiHidden/>
    <w:unhideWhenUsed/>
    <w:rsid w:val="006A5118"/>
    <w:rPr>
      <w:color w:val="954F72" w:themeColor="followedHyperlink"/>
      <w:u w:val="single"/>
    </w:rPr>
  </w:style>
  <w:style w:type="paragraph" w:styleId="a6">
    <w:name w:val="Title"/>
    <w:basedOn w:val="a"/>
    <w:next w:val="a"/>
    <w:link w:val="a7"/>
    <w:uiPriority w:val="10"/>
    <w:qFormat/>
    <w:rsid w:val="006338F8"/>
    <w:pPr>
      <w:widowControl/>
      <w:spacing w:before="240" w:after="60" w:line="259" w:lineRule="auto"/>
      <w:jc w:val="center"/>
      <w:outlineLvl w:val="0"/>
    </w:pPr>
    <w:rPr>
      <w:rFonts w:asciiTheme="majorHAnsi" w:eastAsiaTheme="majorEastAsia" w:hAnsiTheme="majorHAnsi" w:cstheme="majorBidi"/>
      <w:b/>
      <w:bCs/>
      <w:kern w:val="0"/>
      <w:sz w:val="32"/>
      <w:szCs w:val="32"/>
      <w:lang w:val="en-US" w:eastAsia="zh-CN"/>
    </w:rPr>
  </w:style>
  <w:style w:type="character" w:customStyle="1" w:styleId="a7">
    <w:name w:val="標題 字元"/>
    <w:basedOn w:val="a0"/>
    <w:link w:val="a6"/>
    <w:uiPriority w:val="10"/>
    <w:rsid w:val="006338F8"/>
    <w:rPr>
      <w:rFonts w:asciiTheme="majorHAnsi" w:eastAsiaTheme="majorEastAsia" w:hAnsiTheme="majorHAnsi" w:cstheme="majorBidi"/>
      <w:b/>
      <w:bCs/>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94">
      <w:bodyDiv w:val="1"/>
      <w:marLeft w:val="0"/>
      <w:marRight w:val="0"/>
      <w:marTop w:val="0"/>
      <w:marBottom w:val="0"/>
      <w:divBdr>
        <w:top w:val="none" w:sz="0" w:space="0" w:color="auto"/>
        <w:left w:val="none" w:sz="0" w:space="0" w:color="auto"/>
        <w:bottom w:val="none" w:sz="0" w:space="0" w:color="auto"/>
        <w:right w:val="none" w:sz="0" w:space="0" w:color="auto"/>
      </w:divBdr>
    </w:div>
    <w:div w:id="390154189">
      <w:bodyDiv w:val="1"/>
      <w:marLeft w:val="0"/>
      <w:marRight w:val="0"/>
      <w:marTop w:val="0"/>
      <w:marBottom w:val="0"/>
      <w:divBdr>
        <w:top w:val="none" w:sz="0" w:space="0" w:color="auto"/>
        <w:left w:val="none" w:sz="0" w:space="0" w:color="auto"/>
        <w:bottom w:val="none" w:sz="0" w:space="0" w:color="auto"/>
        <w:right w:val="none" w:sz="0" w:space="0" w:color="auto"/>
      </w:divBdr>
    </w:div>
    <w:div w:id="576979159">
      <w:bodyDiv w:val="1"/>
      <w:marLeft w:val="0"/>
      <w:marRight w:val="0"/>
      <w:marTop w:val="0"/>
      <w:marBottom w:val="0"/>
      <w:divBdr>
        <w:top w:val="none" w:sz="0" w:space="0" w:color="auto"/>
        <w:left w:val="none" w:sz="0" w:space="0" w:color="auto"/>
        <w:bottom w:val="none" w:sz="0" w:space="0" w:color="auto"/>
        <w:right w:val="none" w:sz="0" w:space="0" w:color="auto"/>
      </w:divBdr>
    </w:div>
    <w:div w:id="755060191">
      <w:bodyDiv w:val="1"/>
      <w:marLeft w:val="0"/>
      <w:marRight w:val="0"/>
      <w:marTop w:val="0"/>
      <w:marBottom w:val="0"/>
      <w:divBdr>
        <w:top w:val="none" w:sz="0" w:space="0" w:color="auto"/>
        <w:left w:val="none" w:sz="0" w:space="0" w:color="auto"/>
        <w:bottom w:val="none" w:sz="0" w:space="0" w:color="auto"/>
        <w:right w:val="none" w:sz="0" w:space="0" w:color="auto"/>
      </w:divBdr>
    </w:div>
    <w:div w:id="901212613">
      <w:bodyDiv w:val="1"/>
      <w:marLeft w:val="0"/>
      <w:marRight w:val="0"/>
      <w:marTop w:val="0"/>
      <w:marBottom w:val="0"/>
      <w:divBdr>
        <w:top w:val="none" w:sz="0" w:space="0" w:color="auto"/>
        <w:left w:val="none" w:sz="0" w:space="0" w:color="auto"/>
        <w:bottom w:val="none" w:sz="0" w:space="0" w:color="auto"/>
        <w:right w:val="none" w:sz="0" w:space="0" w:color="auto"/>
      </w:divBdr>
    </w:div>
    <w:div w:id="1007827077">
      <w:bodyDiv w:val="1"/>
      <w:marLeft w:val="0"/>
      <w:marRight w:val="0"/>
      <w:marTop w:val="0"/>
      <w:marBottom w:val="0"/>
      <w:divBdr>
        <w:top w:val="none" w:sz="0" w:space="0" w:color="auto"/>
        <w:left w:val="none" w:sz="0" w:space="0" w:color="auto"/>
        <w:bottom w:val="none" w:sz="0" w:space="0" w:color="auto"/>
        <w:right w:val="none" w:sz="0" w:space="0" w:color="auto"/>
      </w:divBdr>
    </w:div>
    <w:div w:id="1362782454">
      <w:bodyDiv w:val="1"/>
      <w:marLeft w:val="0"/>
      <w:marRight w:val="0"/>
      <w:marTop w:val="0"/>
      <w:marBottom w:val="0"/>
      <w:divBdr>
        <w:top w:val="none" w:sz="0" w:space="0" w:color="auto"/>
        <w:left w:val="none" w:sz="0" w:space="0" w:color="auto"/>
        <w:bottom w:val="none" w:sz="0" w:space="0" w:color="auto"/>
        <w:right w:val="none" w:sz="0" w:space="0" w:color="auto"/>
      </w:divBdr>
    </w:div>
    <w:div w:id="1435632950">
      <w:bodyDiv w:val="1"/>
      <w:marLeft w:val="0"/>
      <w:marRight w:val="0"/>
      <w:marTop w:val="0"/>
      <w:marBottom w:val="0"/>
      <w:divBdr>
        <w:top w:val="none" w:sz="0" w:space="0" w:color="auto"/>
        <w:left w:val="none" w:sz="0" w:space="0" w:color="auto"/>
        <w:bottom w:val="none" w:sz="0" w:space="0" w:color="auto"/>
        <w:right w:val="none" w:sz="0" w:space="0" w:color="auto"/>
      </w:divBdr>
    </w:div>
    <w:div w:id="1578442321">
      <w:bodyDiv w:val="1"/>
      <w:marLeft w:val="0"/>
      <w:marRight w:val="0"/>
      <w:marTop w:val="0"/>
      <w:marBottom w:val="0"/>
      <w:divBdr>
        <w:top w:val="none" w:sz="0" w:space="0" w:color="auto"/>
        <w:left w:val="none" w:sz="0" w:space="0" w:color="auto"/>
        <w:bottom w:val="none" w:sz="0" w:space="0" w:color="auto"/>
        <w:right w:val="none" w:sz="0" w:space="0" w:color="auto"/>
      </w:divBdr>
    </w:div>
    <w:div w:id="19046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22</cp:revision>
  <dcterms:created xsi:type="dcterms:W3CDTF">2022-02-05T18:36:00Z</dcterms:created>
  <dcterms:modified xsi:type="dcterms:W3CDTF">2022-02-05T18:58:00Z</dcterms:modified>
</cp:coreProperties>
</file>