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CE1A" w14:textId="00BDD713" w:rsidR="00F5304A" w:rsidRPr="005A1B48" w:rsidRDefault="00855E9E" w:rsidP="00FD763F">
      <w:pPr>
        <w:pStyle w:val="1"/>
        <w:rPr>
          <w:rStyle w:val="a7"/>
          <w:rFonts w:cs="Arial"/>
          <w:sz w:val="24"/>
          <w:szCs w:val="24"/>
          <w:bdr w:val="none" w:sz="0" w:space="0" w:color="auto" w:frame="1"/>
        </w:rPr>
      </w:pPr>
      <w:r w:rsidRPr="005A1B48">
        <w:rPr>
          <w:rFonts w:cs="Arial"/>
          <w:sz w:val="24"/>
          <w:szCs w:val="24"/>
        </w:rPr>
        <w:t xml:space="preserve">Disaster Recovery </w:t>
      </w:r>
      <w:r w:rsidR="000D22F6">
        <w:rPr>
          <w:rFonts w:cs="Arial"/>
          <w:sz w:val="24"/>
          <w:szCs w:val="24"/>
        </w:rPr>
        <w:t>S</w:t>
      </w:r>
      <w:r w:rsidRPr="005A1B48">
        <w:rPr>
          <w:rFonts w:cs="Arial"/>
          <w:sz w:val="24"/>
          <w:szCs w:val="24"/>
        </w:rPr>
        <w:t>olution</w:t>
      </w:r>
    </w:p>
    <w:p w14:paraId="68D38CEC" w14:textId="13BAC738" w:rsidR="00AE4CEF" w:rsidRPr="005A1B48" w:rsidRDefault="00AE4CEF" w:rsidP="00FD763F">
      <w:pPr>
        <w:pStyle w:val="2"/>
        <w:rPr>
          <w:rStyle w:val="a7"/>
          <w:rFonts w:cs="Arial"/>
          <w:b/>
          <w:bCs/>
          <w:sz w:val="24"/>
          <w:szCs w:val="24"/>
        </w:rPr>
      </w:pPr>
      <w:r w:rsidRPr="005A1B48">
        <w:rPr>
          <w:rStyle w:val="a7"/>
          <w:rFonts w:cs="Arial"/>
          <w:b/>
          <w:bCs/>
          <w:sz w:val="24"/>
          <w:szCs w:val="24"/>
        </w:rPr>
        <w:t>Assumption</w:t>
      </w:r>
    </w:p>
    <w:p w14:paraId="3651E7E9" w14:textId="13225936" w:rsidR="00F5304A" w:rsidRPr="005A1B48" w:rsidRDefault="002159F8" w:rsidP="00AE4CEF">
      <w:pPr>
        <w:pStyle w:val="ac"/>
        <w:numPr>
          <w:ilvl w:val="0"/>
          <w:numId w:val="8"/>
        </w:num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ACME has </w:t>
      </w:r>
      <w:r w:rsidR="00AA3019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eCommerce website</w:t>
      </w: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for selling goods similar with the researched companies </w:t>
      </w:r>
      <w:r w:rsidRPr="005A1B48"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="000D2197" w:rsidRPr="005A1B48">
        <w:rPr>
          <w:rFonts w:ascii="Arial" w:hAnsi="Arial" w:cs="Arial"/>
          <w:sz w:val="24"/>
          <w:szCs w:val="24"/>
          <w:bdr w:val="none" w:sz="0" w:space="0" w:color="auto" w:frame="1"/>
        </w:rPr>
        <w:t>CHX Products</w:t>
      </w: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, N.D.)</w:t>
      </w:r>
      <w:r w:rsidR="000D2197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.</w:t>
      </w:r>
    </w:p>
    <w:p w14:paraId="2F96B7BA" w14:textId="163262F6" w:rsidR="00703631" w:rsidRPr="005A1B48" w:rsidRDefault="00AE4CEF" w:rsidP="00AE4CEF">
      <w:pPr>
        <w:pStyle w:val="ac"/>
        <w:numPr>
          <w:ilvl w:val="0"/>
          <w:numId w:val="8"/>
        </w:num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The COTS solution able to support cluster</w:t>
      </w:r>
      <w:r w:rsidR="00AA3019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s</w:t>
      </w: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, container</w:t>
      </w:r>
      <w:r w:rsidR="00AA3019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s</w:t>
      </w: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, and cloud solution</w:t>
      </w:r>
      <w:r w:rsidR="00AA3019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like Azure.</w:t>
      </w:r>
    </w:p>
    <w:p w14:paraId="3F8584EC" w14:textId="7EAA184F" w:rsidR="006306CF" w:rsidRPr="005A1B48" w:rsidRDefault="00121196" w:rsidP="006365C2">
      <w:pPr>
        <w:pStyle w:val="2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t>RPO/ RTO requirements</w:t>
      </w:r>
    </w:p>
    <w:p w14:paraId="2E216E93" w14:textId="42A2F246" w:rsidR="00C53D7C" w:rsidRDefault="00C53D7C" w:rsidP="002677EC">
      <w:p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>
        <w:rPr>
          <w:rStyle w:val="a7"/>
          <w:rFonts w:ascii="Arial" w:hAnsi="Arial" w:cs="Arial"/>
          <w:b w:val="0"/>
          <w:bCs w:val="0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62FF5D1" wp14:editId="492D1856">
            <wp:extent cx="6895465" cy="200596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0144">
        <w:rPr>
          <w:rStyle w:val="a7"/>
          <w:rFonts w:ascii="Arial" w:hAnsi="Arial" w:cs="Arial"/>
          <w:b w:val="0"/>
          <w:bCs w:val="0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016406A" wp14:editId="44DEFB53">
            <wp:extent cx="5505450" cy="53730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32" cy="5377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923A0" w14:textId="04A11BB8" w:rsidR="00500C44" w:rsidRDefault="00C53D7C" w:rsidP="002677EC">
      <w:p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2677EC">
        <w:rPr>
          <w:rFonts w:ascii="Arial" w:hAnsi="Arial" w:cs="Arial"/>
          <w:sz w:val="24"/>
          <w:szCs w:val="24"/>
        </w:rPr>
        <w:t>Figure 3</w:t>
      </w:r>
      <w:r>
        <w:rPr>
          <w:rFonts w:ascii="Arial" w:hAnsi="Arial" w:cs="Arial"/>
          <w:sz w:val="24"/>
          <w:szCs w:val="24"/>
        </w:rPr>
        <w:t xml:space="preserve">: </w:t>
      </w:r>
      <w:r w:rsidRPr="00C53D7C">
        <w:rPr>
          <w:rFonts w:ascii="Arial" w:hAnsi="Arial" w:cs="Arial"/>
          <w:sz w:val="24"/>
          <w:szCs w:val="24"/>
        </w:rPr>
        <w:t xml:space="preserve">RPO/ RTO </w:t>
      </w:r>
      <w:r>
        <w:rPr>
          <w:rFonts w:ascii="Arial" w:hAnsi="Arial" w:cs="Arial"/>
          <w:sz w:val="24"/>
          <w:szCs w:val="24"/>
        </w:rPr>
        <w:t>recommendation</w:t>
      </w:r>
      <w:r w:rsidRPr="00C53D7C">
        <w:rPr>
          <w:rFonts w:ascii="Arial" w:hAnsi="Arial" w:cs="Arial"/>
          <w:sz w:val="24"/>
          <w:szCs w:val="24"/>
        </w:rPr>
        <w:t xml:space="preserve"> </w:t>
      </w:r>
      <w:r w:rsidRPr="005A1B4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Gremlin</w:t>
      </w:r>
      <w:r w:rsidRPr="005A1B4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N.D.</w:t>
      </w:r>
      <w:r w:rsidRPr="005A1B48">
        <w:rPr>
          <w:rFonts w:ascii="Arial" w:hAnsi="Arial" w:cs="Arial"/>
          <w:sz w:val="24"/>
          <w:szCs w:val="24"/>
        </w:rPr>
        <w:t>)</w:t>
      </w:r>
      <w:r w:rsidR="00500C44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br w:type="page"/>
      </w:r>
    </w:p>
    <w:p w14:paraId="18DB6C88" w14:textId="77777777" w:rsidR="00500C44" w:rsidRPr="005A1B48" w:rsidRDefault="00500C44" w:rsidP="00500C44">
      <w:pPr>
        <w:widowControl/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 w:rsidRPr="005A1B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2DB0AC" wp14:editId="71DF707A">
            <wp:extent cx="6840220" cy="6958965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3D8" w14:textId="103EC8CB" w:rsidR="00FF7DC6" w:rsidRPr="005A1B48" w:rsidRDefault="00FF7DC6" w:rsidP="00FF7DC6">
      <w:pPr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510D28">
        <w:rPr>
          <w:rFonts w:ascii="Arial" w:hAnsi="Arial" w:cs="Arial"/>
          <w:sz w:val="24"/>
          <w:szCs w:val="24"/>
        </w:rPr>
        <w:t xml:space="preserve">Multi Region, </w:t>
      </w:r>
      <w:r w:rsidR="00510D28">
        <w:rPr>
          <w:rFonts w:ascii="Arial" w:hAnsi="Arial" w:cs="Arial"/>
          <w:sz w:val="24"/>
          <w:szCs w:val="24"/>
        </w:rPr>
        <w:t>Annual cost</w:t>
      </w:r>
      <w:r w:rsidR="00510D28">
        <w:rPr>
          <w:rFonts w:ascii="Arial" w:hAnsi="Arial" w:cs="Arial"/>
          <w:sz w:val="24"/>
          <w:szCs w:val="24"/>
        </w:rPr>
        <w:t>:</w:t>
      </w:r>
      <w:r w:rsidR="00510D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$1,416 + $3,151.78 x 12 = $</w:t>
      </w:r>
      <w:r w:rsidRPr="002677EC">
        <w:rPr>
          <w:rFonts w:ascii="Arial" w:hAnsi="Arial" w:cs="Arial"/>
          <w:sz w:val="24"/>
          <w:szCs w:val="24"/>
        </w:rPr>
        <w:t>39,237.36</w:t>
      </w:r>
      <w:r>
        <w:rPr>
          <w:rFonts w:ascii="Arial" w:hAnsi="Arial" w:cs="Arial"/>
          <w:sz w:val="24"/>
          <w:szCs w:val="24"/>
        </w:rPr>
        <w:t xml:space="preserve"> </w:t>
      </w:r>
      <w:r w:rsidRPr="005A1B48">
        <w:rPr>
          <w:rFonts w:ascii="Arial" w:hAnsi="Arial" w:cs="Arial"/>
          <w:sz w:val="24"/>
          <w:szCs w:val="24"/>
        </w:rPr>
        <w:t>(Azure, 2022)</w:t>
      </w:r>
    </w:p>
    <w:p w14:paraId="34DF5082" w14:textId="77777777" w:rsidR="00500C44" w:rsidRPr="005A1B48" w:rsidRDefault="00500C44" w:rsidP="00500C44">
      <w:pPr>
        <w:widowControl/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 w:rsidRPr="005A1B48"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  <w:br w:type="page"/>
      </w:r>
    </w:p>
    <w:p w14:paraId="54D91303" w14:textId="2F3686E6" w:rsidR="00500C44" w:rsidRDefault="00500C44" w:rsidP="00500C44">
      <w:pPr>
        <w:widowControl/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 w:rsidRPr="005A1B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AE8CA" wp14:editId="05F15997">
            <wp:extent cx="6840220" cy="5224145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E59E" w14:textId="3C33CBA9" w:rsidR="00FF7DC6" w:rsidRPr="00FF7DC6" w:rsidRDefault="00FF7DC6" w:rsidP="00FF7DC6">
      <w:pPr>
        <w:rPr>
          <w:rStyle w:val="a7"/>
          <w:rFonts w:ascii="Arial" w:hAnsi="Arial" w:cs="Arial"/>
          <w:b w:val="0"/>
          <w:bCs w:val="0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="00510D28">
        <w:rPr>
          <w:rFonts w:ascii="Arial" w:hAnsi="Arial" w:cs="Arial"/>
          <w:sz w:val="24"/>
          <w:szCs w:val="24"/>
        </w:rPr>
        <w:t>Single</w:t>
      </w:r>
      <w:r w:rsidR="00510D28">
        <w:rPr>
          <w:rFonts w:ascii="Arial" w:hAnsi="Arial" w:cs="Arial"/>
          <w:sz w:val="24"/>
          <w:szCs w:val="24"/>
        </w:rPr>
        <w:t xml:space="preserve"> Region, Annual cost:</w:t>
      </w:r>
      <w:r>
        <w:rPr>
          <w:rFonts w:ascii="Arial" w:hAnsi="Arial" w:cs="Arial"/>
          <w:sz w:val="24"/>
          <w:szCs w:val="24"/>
        </w:rPr>
        <w:t xml:space="preserve"> $726 + $2,256.54 x 12 = $</w:t>
      </w:r>
      <w:r w:rsidRPr="002677EC">
        <w:rPr>
          <w:rFonts w:ascii="Arial" w:hAnsi="Arial" w:cs="Arial"/>
          <w:sz w:val="24"/>
          <w:szCs w:val="24"/>
        </w:rPr>
        <w:t>27,804.48</w:t>
      </w:r>
      <w:r>
        <w:rPr>
          <w:rFonts w:ascii="Arial" w:hAnsi="Arial" w:cs="Arial"/>
          <w:sz w:val="24"/>
          <w:szCs w:val="24"/>
        </w:rPr>
        <w:t xml:space="preserve"> </w:t>
      </w:r>
      <w:r w:rsidRPr="005A1B48">
        <w:rPr>
          <w:rFonts w:ascii="Arial" w:hAnsi="Arial" w:cs="Arial"/>
          <w:sz w:val="24"/>
          <w:szCs w:val="24"/>
        </w:rPr>
        <w:t>(Azure, 2022)</w:t>
      </w:r>
    </w:p>
    <w:p w14:paraId="26BB4D42" w14:textId="77777777" w:rsidR="00500C44" w:rsidRPr="005A1B48" w:rsidRDefault="00500C44" w:rsidP="00500C44">
      <w:pPr>
        <w:widowControl/>
        <w:rPr>
          <w:rFonts w:ascii="Arial" w:hAnsi="Arial" w:cs="Arial"/>
          <w:sz w:val="24"/>
          <w:szCs w:val="24"/>
        </w:rPr>
      </w:pPr>
      <w:r w:rsidRPr="005A1B48">
        <w:rPr>
          <w:rFonts w:ascii="Arial" w:hAnsi="Arial" w:cs="Arial"/>
          <w:sz w:val="24"/>
          <w:szCs w:val="24"/>
        </w:rPr>
        <w:br w:type="page"/>
      </w:r>
    </w:p>
    <w:p w14:paraId="71B0D7C8" w14:textId="74D15AD1" w:rsidR="00500C44" w:rsidRDefault="00500C44" w:rsidP="00500C44">
      <w:pPr>
        <w:widowControl/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 w:rsidRPr="005A1B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069EEB" wp14:editId="740B6586">
            <wp:extent cx="6840220" cy="4619625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0C39" w14:textId="50EC448F" w:rsidR="00FF7DC6" w:rsidRPr="00FF7DC6" w:rsidRDefault="00FF7DC6" w:rsidP="00FF7DC6">
      <w:pPr>
        <w:rPr>
          <w:rStyle w:val="a7"/>
          <w:rFonts w:ascii="Arial" w:hAnsi="Arial" w:cs="Arial"/>
          <w:b w:val="0"/>
          <w:bCs w:val="0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510D28">
        <w:rPr>
          <w:rFonts w:ascii="Arial" w:hAnsi="Arial" w:cs="Arial"/>
          <w:sz w:val="24"/>
          <w:szCs w:val="24"/>
        </w:rPr>
        <w:t>Single</w:t>
      </w:r>
      <w:r w:rsidR="00510D28">
        <w:rPr>
          <w:rFonts w:ascii="Arial" w:hAnsi="Arial" w:cs="Arial"/>
          <w:sz w:val="24"/>
          <w:szCs w:val="24"/>
        </w:rPr>
        <w:t xml:space="preserve"> Region</w:t>
      </w:r>
      <w:r w:rsidR="00510D28">
        <w:rPr>
          <w:rFonts w:ascii="Arial" w:hAnsi="Arial" w:cs="Arial"/>
          <w:sz w:val="24"/>
          <w:szCs w:val="24"/>
        </w:rPr>
        <w:t xml:space="preserve"> with VM</w:t>
      </w:r>
      <w:r w:rsidR="00510D28">
        <w:rPr>
          <w:rFonts w:ascii="Arial" w:hAnsi="Arial" w:cs="Arial"/>
          <w:sz w:val="24"/>
          <w:szCs w:val="24"/>
        </w:rPr>
        <w:t xml:space="preserve">, Annual cost: </w:t>
      </w:r>
      <w:r>
        <w:rPr>
          <w:rFonts w:ascii="Arial" w:hAnsi="Arial" w:cs="Arial"/>
          <w:sz w:val="24"/>
          <w:szCs w:val="24"/>
        </w:rPr>
        <w:t>$726 + $1,573.01 x 12 = $</w:t>
      </w:r>
      <w:r w:rsidRPr="002677EC">
        <w:rPr>
          <w:rFonts w:ascii="Arial" w:hAnsi="Arial" w:cs="Arial"/>
          <w:sz w:val="24"/>
          <w:szCs w:val="24"/>
        </w:rPr>
        <w:t>19,602.12</w:t>
      </w:r>
      <w:r>
        <w:rPr>
          <w:rFonts w:ascii="Arial" w:hAnsi="Arial" w:cs="Arial"/>
          <w:sz w:val="24"/>
          <w:szCs w:val="24"/>
        </w:rPr>
        <w:t xml:space="preserve"> </w:t>
      </w:r>
      <w:r w:rsidRPr="005A1B48">
        <w:rPr>
          <w:rFonts w:ascii="Arial" w:hAnsi="Arial" w:cs="Arial"/>
          <w:sz w:val="24"/>
          <w:szCs w:val="24"/>
        </w:rPr>
        <w:t>(Azure, 2022)</w:t>
      </w:r>
    </w:p>
    <w:p w14:paraId="2ACF606D" w14:textId="77777777" w:rsidR="00757160" w:rsidRPr="005A1B48" w:rsidRDefault="00757160" w:rsidP="006365C2">
      <w:p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74E5A75C" w14:textId="5CEDD348" w:rsidR="00757160" w:rsidRPr="005A1B48" w:rsidRDefault="00757160" w:rsidP="006365C2">
      <w:pP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sectPr w:rsidR="00757160" w:rsidRPr="005A1B48" w:rsidSect="000B3EA7">
          <w:footerReference w:type="default" r:id="rId13"/>
          <w:type w:val="continuous"/>
          <w:pgSz w:w="11906" w:h="16838"/>
          <w:pgMar w:top="567" w:right="567" w:bottom="567" w:left="567" w:header="432" w:footer="432" w:gutter="0"/>
          <w:pgNumType w:start="7"/>
          <w:cols w:space="425"/>
          <w:docGrid w:linePitch="360"/>
        </w:sectPr>
      </w:pPr>
    </w:p>
    <w:p w14:paraId="39DD67D9" w14:textId="76670022" w:rsidR="00FD763F" w:rsidRPr="005A1B48" w:rsidRDefault="00FD763F" w:rsidP="00FD763F">
      <w:pPr>
        <w:pStyle w:val="2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lastRenderedPageBreak/>
        <w:t>High-level Diagram</w:t>
      </w:r>
    </w:p>
    <w:p w14:paraId="3D160165" w14:textId="77777777" w:rsidR="00DB4B33" w:rsidRPr="005A1B48" w:rsidRDefault="00DB4B33">
      <w:pPr>
        <w:widowControl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5A1B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E1C0BA" wp14:editId="0E4E9464">
            <wp:extent cx="9972040" cy="5029835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FF0D" w14:textId="755193F5" w:rsidR="0082079E" w:rsidRPr="005A1B48" w:rsidRDefault="00FF7DC6" w:rsidP="0082079E">
      <w:pPr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7</w:t>
      </w:r>
      <w:r w:rsidR="00E51B99">
        <w:rPr>
          <w:rFonts w:ascii="Arial" w:hAnsi="Arial" w:cs="Arial"/>
          <w:sz w:val="24"/>
          <w:szCs w:val="24"/>
        </w:rPr>
        <w:t>:</w:t>
      </w:r>
      <w:r w:rsidRPr="005A1B48">
        <w:rPr>
          <w:rFonts w:ascii="Arial" w:hAnsi="Arial" w:cs="Arial"/>
          <w:sz w:val="24"/>
          <w:szCs w:val="24"/>
        </w:rPr>
        <w:t xml:space="preserve"> </w:t>
      </w:r>
      <w:r w:rsidR="00510D28">
        <w:rPr>
          <w:rFonts w:ascii="Arial" w:hAnsi="Arial" w:cs="Arial"/>
          <w:sz w:val="24"/>
          <w:szCs w:val="24"/>
        </w:rPr>
        <w:t xml:space="preserve">Cloud Container with Multi Region Services </w:t>
      </w:r>
      <w:r w:rsidR="0082079E" w:rsidRPr="005A1B48">
        <w:rPr>
          <w:rFonts w:ascii="Arial" w:hAnsi="Arial" w:cs="Arial"/>
          <w:sz w:val="24"/>
          <w:szCs w:val="24"/>
        </w:rPr>
        <w:t>(Azure, 2022)</w:t>
      </w:r>
    </w:p>
    <w:p w14:paraId="036733FF" w14:textId="779F809D" w:rsidR="00972C44" w:rsidRPr="005A1B48" w:rsidRDefault="00972C44">
      <w:pPr>
        <w:widowControl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br w:type="page"/>
      </w:r>
    </w:p>
    <w:p w14:paraId="2349DC51" w14:textId="5572DD14" w:rsidR="002A31DF" w:rsidRPr="005A1B48" w:rsidRDefault="002A31DF" w:rsidP="002A31DF">
      <w:pPr>
        <w:pStyle w:val="1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lastRenderedPageBreak/>
        <w:t>Challenges</w:t>
      </w:r>
    </w:p>
    <w:p w14:paraId="58F69D1D" w14:textId="7AF096B4" w:rsidR="002A31DF" w:rsidRDefault="002A31DF" w:rsidP="002A31DF">
      <w:pPr>
        <w:pStyle w:val="2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t>Resilience</w:t>
      </w:r>
    </w:p>
    <w:p w14:paraId="77D84D3D" w14:textId="77777777" w:rsidR="000D22F6" w:rsidRPr="005A1B48" w:rsidRDefault="000D22F6" w:rsidP="000D22F6">
      <w:pPr>
        <w:rPr>
          <w:rFonts w:ascii="Arial" w:hAnsi="Arial" w:cs="Arial"/>
          <w:sz w:val="24"/>
          <w:szCs w:val="24"/>
        </w:rPr>
      </w:pPr>
      <w:r w:rsidRPr="005A1B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C9E5F2" wp14:editId="5D8772F1">
            <wp:extent cx="9766935" cy="3883660"/>
            <wp:effectExtent l="0" t="0" r="5715" b="254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93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27B7C" w14:textId="15DD5DBE" w:rsidR="000D22F6" w:rsidRPr="000D22F6" w:rsidRDefault="00FF7DC6" w:rsidP="000D22F6">
      <w:pPr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8</w:t>
      </w:r>
      <w:r w:rsidR="00E51B99">
        <w:rPr>
          <w:rFonts w:ascii="Arial" w:hAnsi="Arial" w:cs="Arial"/>
          <w:sz w:val="24"/>
          <w:szCs w:val="24"/>
        </w:rPr>
        <w:t>: Scenario (Region Down / Inaccessibility),</w:t>
      </w:r>
      <w:r>
        <w:rPr>
          <w:rFonts w:ascii="Arial" w:hAnsi="Arial" w:cs="Arial"/>
          <w:sz w:val="24"/>
          <w:szCs w:val="24"/>
        </w:rPr>
        <w:t xml:space="preserve"> </w:t>
      </w:r>
      <w:r w:rsidR="000D22F6" w:rsidRPr="005A1B48">
        <w:rPr>
          <w:rFonts w:ascii="Arial" w:hAnsi="Arial" w:cs="Arial"/>
          <w:sz w:val="24"/>
          <w:szCs w:val="24"/>
        </w:rPr>
        <w:t>NIST SP 800-160 (NIST, 2021)</w:t>
      </w:r>
    </w:p>
    <w:p w14:paraId="2EFFE398" w14:textId="52D8EF84" w:rsidR="0082079E" w:rsidRPr="005A1B48" w:rsidRDefault="00AC14EE" w:rsidP="00092FB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190AF" wp14:editId="637E8477">
            <wp:extent cx="9972040" cy="49263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4D98" w14:textId="3E8BC11D" w:rsidR="002A1F6E" w:rsidRPr="005A1B48" w:rsidRDefault="00FF7DC6" w:rsidP="00FF7DC6">
      <w:pPr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9</w:t>
      </w:r>
      <w:r w:rsidR="009D700D">
        <w:rPr>
          <w:rFonts w:ascii="Arial" w:hAnsi="Arial" w:cs="Arial"/>
          <w:sz w:val="24"/>
          <w:szCs w:val="24"/>
        </w:rPr>
        <w:t>:</w:t>
      </w:r>
      <w:r w:rsidRPr="005A1B48">
        <w:rPr>
          <w:rFonts w:ascii="Arial" w:hAnsi="Arial" w:cs="Arial"/>
          <w:sz w:val="24"/>
          <w:szCs w:val="24"/>
        </w:rPr>
        <w:t xml:space="preserve"> </w:t>
      </w:r>
      <w:r w:rsidR="00E51B99">
        <w:rPr>
          <w:rFonts w:ascii="Arial" w:hAnsi="Arial" w:cs="Arial"/>
          <w:sz w:val="24"/>
          <w:szCs w:val="24"/>
        </w:rPr>
        <w:t>Scenario (Region Down / Inaccessibility)</w:t>
      </w:r>
      <w:r w:rsidR="00E51B99" w:rsidRPr="005A1B48">
        <w:rPr>
          <w:rFonts w:ascii="Arial" w:hAnsi="Arial" w:cs="Arial"/>
          <w:sz w:val="24"/>
          <w:szCs w:val="24"/>
        </w:rPr>
        <w:t xml:space="preserve"> </w:t>
      </w:r>
      <w:r w:rsidR="0082079E" w:rsidRPr="005A1B48">
        <w:rPr>
          <w:rFonts w:ascii="Arial" w:hAnsi="Arial" w:cs="Arial"/>
          <w:sz w:val="24"/>
          <w:szCs w:val="24"/>
        </w:rPr>
        <w:t>(Azure, 2022)</w:t>
      </w:r>
      <w:r w:rsidR="002A1F6E" w:rsidRPr="005A1B48">
        <w:rPr>
          <w:rFonts w:ascii="Arial" w:hAnsi="Arial" w:cs="Arial"/>
          <w:sz w:val="24"/>
          <w:szCs w:val="24"/>
        </w:rPr>
        <w:br w:type="page"/>
      </w:r>
    </w:p>
    <w:p w14:paraId="25B5F767" w14:textId="22550BE8" w:rsidR="002A31DF" w:rsidRPr="005A1B48" w:rsidRDefault="002A31DF" w:rsidP="002A31DF">
      <w:pPr>
        <w:pStyle w:val="2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lastRenderedPageBreak/>
        <w:t>Network security</w:t>
      </w:r>
    </w:p>
    <w:p w14:paraId="1508C634" w14:textId="26BEC78A" w:rsidR="00FF7DC6" w:rsidRDefault="000219E4" w:rsidP="00CD49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7BBEC" wp14:editId="35CEE15A">
            <wp:extent cx="6413167" cy="591502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08" cy="59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0C51D" w14:textId="34C8717B" w:rsidR="00925002" w:rsidRPr="005A1B48" w:rsidRDefault="00FF7DC6" w:rsidP="00CD4988">
      <w:pPr>
        <w:jc w:val="center"/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 w:rsidR="00C53D7C">
        <w:rPr>
          <w:rFonts w:ascii="Arial" w:hAnsi="Arial" w:cs="Arial"/>
          <w:sz w:val="24"/>
          <w:szCs w:val="24"/>
        </w:rPr>
        <w:t>10</w:t>
      </w:r>
      <w:r w:rsidR="00E51B99">
        <w:rPr>
          <w:rFonts w:ascii="Arial" w:hAnsi="Arial" w:cs="Arial"/>
          <w:sz w:val="24"/>
          <w:szCs w:val="24"/>
        </w:rPr>
        <w:t xml:space="preserve">: Network Security Components </w:t>
      </w:r>
      <w:r w:rsidR="00C72DDE" w:rsidRPr="005A1B48">
        <w:rPr>
          <w:rFonts w:ascii="Arial" w:hAnsi="Arial" w:cs="Arial"/>
          <w:sz w:val="24"/>
          <w:szCs w:val="24"/>
        </w:rPr>
        <w:t>(Azure, 2022)</w:t>
      </w:r>
      <w:r w:rsidR="00551F02" w:rsidRPr="005A1B48">
        <w:rPr>
          <w:rFonts w:ascii="Arial" w:hAnsi="Arial" w:cs="Arial"/>
          <w:sz w:val="24"/>
          <w:szCs w:val="24"/>
        </w:rPr>
        <w:t>, ST18-001 (CISA, 2020)</w:t>
      </w:r>
    </w:p>
    <w:p w14:paraId="78758168" w14:textId="75D5393A" w:rsidR="002A31DF" w:rsidRPr="005A1B48" w:rsidRDefault="002A31DF" w:rsidP="002A31DF">
      <w:pPr>
        <w:pStyle w:val="2"/>
        <w:rPr>
          <w:rFonts w:cs="Arial"/>
          <w:sz w:val="24"/>
          <w:szCs w:val="24"/>
        </w:rPr>
      </w:pPr>
      <w:r w:rsidRPr="005A1B48">
        <w:rPr>
          <w:rFonts w:cs="Arial"/>
          <w:sz w:val="24"/>
          <w:szCs w:val="24"/>
        </w:rPr>
        <w:lastRenderedPageBreak/>
        <w:t>Vendor provision/ lock-in</w:t>
      </w:r>
    </w:p>
    <w:tbl>
      <w:tblPr>
        <w:tblW w:w="14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6"/>
        <w:gridCol w:w="10103"/>
      </w:tblGrid>
      <w:tr w:rsidR="00AC45D7" w:rsidRPr="00AC45D7" w14:paraId="273D3F46" w14:textId="77777777" w:rsidTr="00352846">
        <w:trPr>
          <w:trHeight w:val="278"/>
        </w:trPr>
        <w:tc>
          <w:tcPr>
            <w:tcW w:w="14759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35E81" w14:textId="77777777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Secure Software Development Framework (SSDF)</w:t>
            </w:r>
          </w:p>
        </w:tc>
      </w:tr>
      <w:tr w:rsidR="00AC45D7" w:rsidRPr="00AC45D7" w14:paraId="15A6E934" w14:textId="77777777" w:rsidTr="00352846">
        <w:trPr>
          <w:trHeight w:val="557"/>
        </w:trPr>
        <w:tc>
          <w:tcPr>
            <w:tcW w:w="4656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1340C" w14:textId="77777777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Prepare the Organization (PO)</w:t>
            </w:r>
          </w:p>
        </w:tc>
        <w:tc>
          <w:tcPr>
            <w:tcW w:w="10103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6A578" w14:textId="1ACE19E0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noProof/>
                <w:sz w:val="24"/>
                <w:szCs w:val="24"/>
                <w:u w:val="single"/>
                <w:bdr w:val="none" w:sz="0" w:space="0" w:color="auto" w:frame="1"/>
              </w:rPr>
              <w:t>Container instances and application gateway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4110">
              <w:rPr>
                <w:rFonts w:ascii="Arial" w:hAnsi="Arial" w:cs="Arial"/>
                <w:sz w:val="24"/>
                <w:szCs w:val="24"/>
              </w:rPr>
              <w:t>(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Figure </w:t>
            </w:r>
            <w:r w:rsidR="00204110">
              <w:rPr>
                <w:rFonts w:ascii="Arial" w:hAnsi="Arial" w:cs="Arial"/>
                <w:sz w:val="24"/>
                <w:szCs w:val="24"/>
              </w:rPr>
              <w:t>11)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Separate the loading and states of the application to different user groups</w:t>
            </w:r>
          </w:p>
        </w:tc>
      </w:tr>
      <w:tr w:rsidR="00AC45D7" w:rsidRPr="00AC45D7" w14:paraId="378A9BBE" w14:textId="77777777" w:rsidTr="00352846">
        <w:trPr>
          <w:trHeight w:val="1114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D2610" w14:textId="77777777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Protect Software (PS)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A1A2B" w14:textId="393E018C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noProof/>
                <w:sz w:val="24"/>
                <w:szCs w:val="24"/>
                <w:u w:val="single"/>
                <w:bdr w:val="none" w:sz="0" w:space="0" w:color="auto" w:frame="1"/>
              </w:rPr>
              <w:t>Vendor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4110">
              <w:rPr>
                <w:rFonts w:ascii="Arial" w:hAnsi="Arial" w:cs="Arial"/>
                <w:sz w:val="24"/>
                <w:szCs w:val="24"/>
              </w:rPr>
              <w:t>(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Figure </w:t>
            </w:r>
            <w:r w:rsidR="00204110">
              <w:rPr>
                <w:rFonts w:ascii="Arial" w:hAnsi="Arial" w:cs="Arial"/>
                <w:sz w:val="24"/>
                <w:szCs w:val="24"/>
              </w:rPr>
              <w:t>11)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Allowed to make changes in the development environment only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Use version control features of the repository to track all changes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Adopt CI/CD pipeline to automate the software delivery process</w:t>
            </w:r>
          </w:p>
        </w:tc>
      </w:tr>
      <w:tr w:rsidR="00AC45D7" w:rsidRPr="00AC45D7" w14:paraId="340423A9" w14:textId="77777777" w:rsidTr="00352846">
        <w:trPr>
          <w:trHeight w:val="1114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85A3BC" w14:textId="77777777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Produce Well-Secured Software (PW)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749BA" w14:textId="738117D1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noProof/>
                <w:sz w:val="24"/>
                <w:szCs w:val="24"/>
                <w:u w:val="single"/>
                <w:bdr w:val="none" w:sz="0" w:space="0" w:color="auto" w:frame="1"/>
              </w:rPr>
              <w:t>Quality Assurance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4110">
              <w:rPr>
                <w:rFonts w:ascii="Arial" w:hAnsi="Arial" w:cs="Arial"/>
                <w:sz w:val="24"/>
                <w:szCs w:val="24"/>
              </w:rPr>
              <w:t>(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Figure </w:t>
            </w:r>
            <w:r w:rsidR="00204110">
              <w:rPr>
                <w:rFonts w:ascii="Arial" w:hAnsi="Arial" w:cs="Arial"/>
                <w:sz w:val="24"/>
                <w:szCs w:val="24"/>
              </w:rPr>
              <w:t>11)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Verify software complies with security requirements and mitigates risks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Test executable code to identify vulnerabilities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Review the software design to verify compliance</w:t>
            </w:r>
          </w:p>
        </w:tc>
      </w:tr>
      <w:tr w:rsidR="00AC45D7" w:rsidRPr="00AC45D7" w14:paraId="6E23A343" w14:textId="77777777" w:rsidTr="00352846">
        <w:trPr>
          <w:trHeight w:val="1114"/>
        </w:trPr>
        <w:tc>
          <w:tcPr>
            <w:tcW w:w="465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8E1FD" w14:textId="77777777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Respond to Vulnerabilities (RV)</w:t>
            </w:r>
          </w:p>
        </w:tc>
        <w:tc>
          <w:tcPr>
            <w:tcW w:w="1010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2675A" w14:textId="5B3F5F6C" w:rsidR="00AC45D7" w:rsidRPr="00AC45D7" w:rsidRDefault="00AC45D7" w:rsidP="00AC45D7">
            <w:pPr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</w:pPr>
            <w:r w:rsidRPr="00AC45D7">
              <w:rPr>
                <w:rFonts w:ascii="Arial" w:hAnsi="Arial" w:cs="Arial"/>
                <w:noProof/>
                <w:sz w:val="24"/>
                <w:szCs w:val="24"/>
                <w:u w:val="single"/>
                <w:bdr w:val="none" w:sz="0" w:space="0" w:color="auto" w:frame="1"/>
              </w:rPr>
              <w:t>Rollback / Take offline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4110">
              <w:rPr>
                <w:rFonts w:ascii="Arial" w:hAnsi="Arial" w:cs="Arial"/>
                <w:sz w:val="24"/>
                <w:szCs w:val="24"/>
              </w:rPr>
              <w:t>(</w:t>
            </w:r>
            <w:r w:rsidR="00204110" w:rsidRPr="002677EC">
              <w:rPr>
                <w:rFonts w:ascii="Arial" w:hAnsi="Arial" w:cs="Arial"/>
                <w:sz w:val="24"/>
                <w:szCs w:val="24"/>
              </w:rPr>
              <w:t xml:space="preserve">Figure </w:t>
            </w:r>
            <w:r w:rsidR="00204110">
              <w:rPr>
                <w:rFonts w:ascii="Arial" w:hAnsi="Arial" w:cs="Arial"/>
                <w:sz w:val="24"/>
                <w:szCs w:val="24"/>
              </w:rPr>
              <w:t>12)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Identify the vulnerabilities version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Limit assess and remediate the vulnerabilities in container</w:t>
            </w:r>
            <w:r w:rsidRPr="00AC45D7">
              <w:rPr>
                <w:rFonts w:ascii="Arial" w:hAnsi="Arial" w:cs="Arial"/>
                <w:noProof/>
                <w:sz w:val="24"/>
                <w:szCs w:val="24"/>
                <w:bdr w:val="none" w:sz="0" w:space="0" w:color="auto" w:frame="1"/>
              </w:rPr>
              <w:br/>
              <w:t>Analyse the container and identify the root causes</w:t>
            </w:r>
          </w:p>
        </w:tc>
      </w:tr>
    </w:tbl>
    <w:p w14:paraId="0F515C65" w14:textId="08B64185" w:rsidR="00D536E0" w:rsidRPr="005A1B48" w:rsidRDefault="00FF7DC6" w:rsidP="00D536E0">
      <w:pPr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1</w:t>
      </w:r>
      <w:r w:rsidR="00C53D7C">
        <w:rPr>
          <w:rFonts w:ascii="Arial" w:hAnsi="Arial" w:cs="Arial"/>
          <w:sz w:val="24"/>
          <w:szCs w:val="24"/>
        </w:rPr>
        <w:t>1</w:t>
      </w:r>
      <w:r w:rsidR="00E51B9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A1B48" w:rsidRPr="005A1B48">
        <w:rPr>
          <w:rFonts w:ascii="Arial" w:hAnsi="Arial" w:cs="Arial"/>
          <w:sz w:val="24"/>
          <w:szCs w:val="24"/>
        </w:rPr>
        <w:t>SSDF</w:t>
      </w:r>
      <w:r w:rsidR="00B64389" w:rsidRPr="005A1B48">
        <w:rPr>
          <w:rFonts w:ascii="Arial" w:hAnsi="Arial" w:cs="Arial"/>
          <w:sz w:val="24"/>
          <w:szCs w:val="24"/>
        </w:rPr>
        <w:t xml:space="preserve"> </w:t>
      </w:r>
      <w:r w:rsidR="00D536E0" w:rsidRPr="005A1B48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(NIST, 2022)</w:t>
      </w:r>
    </w:p>
    <w:p w14:paraId="29E33534" w14:textId="73A57726" w:rsidR="00352846" w:rsidRDefault="00352846" w:rsidP="00CD49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80D4A4" wp14:editId="1DF0BE8C">
            <wp:extent cx="3805164" cy="269557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38" cy="27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D841" w14:textId="7CD39FCA" w:rsidR="00352846" w:rsidRDefault="00352846" w:rsidP="00CD4988">
      <w:pPr>
        <w:jc w:val="center"/>
        <w:rPr>
          <w:rFonts w:ascii="Arial" w:hAnsi="Arial" w:cs="Arial"/>
          <w:sz w:val="24"/>
          <w:szCs w:val="24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1</w:t>
      </w:r>
      <w:r w:rsidR="00C53D7C">
        <w:rPr>
          <w:rFonts w:ascii="Arial" w:hAnsi="Arial" w:cs="Arial"/>
          <w:sz w:val="24"/>
          <w:szCs w:val="24"/>
        </w:rPr>
        <w:t>2</w:t>
      </w:r>
      <w:r w:rsidR="00E51B99">
        <w:rPr>
          <w:rFonts w:ascii="Arial" w:hAnsi="Arial" w:cs="Arial"/>
          <w:sz w:val="24"/>
          <w:szCs w:val="24"/>
        </w:rPr>
        <w:t>: Respond to Vulnerabilities</w:t>
      </w:r>
      <w:r w:rsidR="00E51B99" w:rsidRPr="005A1B48">
        <w:rPr>
          <w:rFonts w:ascii="Arial" w:hAnsi="Arial" w:cs="Arial"/>
          <w:sz w:val="24"/>
          <w:szCs w:val="24"/>
        </w:rPr>
        <w:t xml:space="preserve"> (</w:t>
      </w:r>
      <w:r w:rsidRPr="005A1B48">
        <w:rPr>
          <w:rFonts w:ascii="Arial" w:hAnsi="Arial" w:cs="Arial"/>
          <w:sz w:val="24"/>
          <w:szCs w:val="24"/>
        </w:rPr>
        <w:t>Azure, 2022)</w:t>
      </w:r>
    </w:p>
    <w:p w14:paraId="721FCA3A" w14:textId="0F82D99E" w:rsidR="00352846" w:rsidRDefault="00352846" w:rsidP="00CD49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9D325A" wp14:editId="698B299C">
            <wp:extent cx="3022779" cy="295592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14" cy="29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566F" w14:textId="03DC894B" w:rsidR="00D536E0" w:rsidRPr="005A1B48" w:rsidRDefault="00AC45D7" w:rsidP="00CD4988">
      <w:pPr>
        <w:jc w:val="center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2677EC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1</w:t>
      </w:r>
      <w:r w:rsidR="00C53D7C">
        <w:rPr>
          <w:rFonts w:ascii="Arial" w:hAnsi="Arial" w:cs="Arial"/>
          <w:sz w:val="24"/>
          <w:szCs w:val="24"/>
        </w:rPr>
        <w:t>3</w:t>
      </w:r>
      <w:r w:rsidR="009D700D">
        <w:rPr>
          <w:rFonts w:ascii="Arial" w:hAnsi="Arial" w:cs="Arial"/>
          <w:sz w:val="24"/>
          <w:szCs w:val="24"/>
        </w:rPr>
        <w:t>:</w:t>
      </w:r>
      <w:r w:rsidRPr="005A1B48">
        <w:rPr>
          <w:rFonts w:ascii="Arial" w:hAnsi="Arial" w:cs="Arial"/>
          <w:sz w:val="24"/>
          <w:szCs w:val="24"/>
        </w:rPr>
        <w:t xml:space="preserve"> </w:t>
      </w:r>
      <w:r w:rsidR="00E51B99">
        <w:rPr>
          <w:rFonts w:ascii="Arial" w:hAnsi="Arial" w:cs="Arial"/>
          <w:sz w:val="24"/>
          <w:szCs w:val="24"/>
        </w:rPr>
        <w:t xml:space="preserve">Secure to Vulnerabilities </w:t>
      </w:r>
      <w:r w:rsidRPr="005A1B48">
        <w:rPr>
          <w:rFonts w:ascii="Arial" w:hAnsi="Arial" w:cs="Arial"/>
          <w:sz w:val="24"/>
          <w:szCs w:val="24"/>
        </w:rPr>
        <w:t>(Azure, 2022)</w:t>
      </w:r>
    </w:p>
    <w:p w14:paraId="65827F6D" w14:textId="5A36623B" w:rsidR="00D536E0" w:rsidRPr="005A1B48" w:rsidRDefault="00D536E0" w:rsidP="00CD4988">
      <w:pPr>
        <w:jc w:val="center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sectPr w:rsidR="00D536E0" w:rsidRPr="005A1B48" w:rsidSect="00500C44">
          <w:pgSz w:w="16838" w:h="11906" w:orient="landscape"/>
          <w:pgMar w:top="567" w:right="567" w:bottom="567" w:left="567" w:header="432" w:footer="432" w:gutter="0"/>
          <w:cols w:space="425"/>
          <w:docGrid w:linePitch="360"/>
        </w:sectPr>
      </w:pPr>
    </w:p>
    <w:p w14:paraId="2A44B402" w14:textId="78803783" w:rsidR="00135692" w:rsidRPr="00964B9F" w:rsidRDefault="00CB534D" w:rsidP="00964B9F">
      <w:pPr>
        <w:pStyle w:val="1"/>
        <w:rPr>
          <w:rStyle w:val="a7"/>
          <w:rFonts w:cs="Arial"/>
          <w:b/>
          <w:bCs w:val="0"/>
          <w:sz w:val="24"/>
          <w:szCs w:val="24"/>
        </w:rPr>
      </w:pPr>
      <w:r w:rsidRPr="005A1B48">
        <w:rPr>
          <w:rStyle w:val="a7"/>
          <w:rFonts w:cs="Arial"/>
          <w:b/>
          <w:bCs w:val="0"/>
          <w:sz w:val="24"/>
          <w:szCs w:val="24"/>
        </w:rPr>
        <w:lastRenderedPageBreak/>
        <w:t>References</w:t>
      </w:r>
    </w:p>
    <w:p w14:paraId="7FF2FE57" w14:textId="1706E4E0" w:rsidR="0053521C" w:rsidRDefault="00964B9F" w:rsidP="00121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</w:t>
      </w:r>
      <w:r w:rsidR="007802F7">
        <w:rPr>
          <w:rFonts w:ascii="Arial" w:hAnsi="Arial" w:cs="Arial"/>
          <w:sz w:val="24"/>
          <w:szCs w:val="24"/>
        </w:rPr>
        <w:t xml:space="preserve"> </w:t>
      </w:r>
      <w:r w:rsidR="007802F7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(N.D.)</w:t>
      </w:r>
      <w:r w:rsidR="007802F7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53521C" w:rsidRPr="0053521C">
        <w:rPr>
          <w:rFonts w:ascii="Arial" w:hAnsi="Arial" w:cs="Arial"/>
          <w:sz w:val="24"/>
          <w:szCs w:val="24"/>
        </w:rPr>
        <w:t>Pricing calculator</w:t>
      </w:r>
      <w:r w:rsidR="0053521C">
        <w:rPr>
          <w:rFonts w:ascii="Arial" w:hAnsi="Arial" w:cs="Arial"/>
          <w:sz w:val="24"/>
          <w:szCs w:val="24"/>
        </w:rPr>
        <w:t xml:space="preserve">. </w:t>
      </w:r>
      <w:r w:rsidR="0053521C" w:rsidRPr="0053521C">
        <w:rPr>
          <w:rFonts w:ascii="Arial" w:hAnsi="Arial" w:cs="Arial"/>
          <w:sz w:val="24"/>
          <w:szCs w:val="24"/>
        </w:rPr>
        <w:t>Pricing</w:t>
      </w:r>
      <w:r w:rsidR="0053521C"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53521C" w:rsidRPr="00192FFD">
        <w:rPr>
          <w:rFonts w:ascii="Arial" w:hAnsi="Arial" w:cs="Arial"/>
          <w:sz w:val="24"/>
          <w:szCs w:val="24"/>
        </w:rPr>
        <w:t>https://azure.microsoft.com/en-us/pricing/calculator/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4B6F143E" w14:textId="1F6F7944" w:rsidR="00C0569A" w:rsidRPr="005A1B48" w:rsidRDefault="00964B9F" w:rsidP="00121196">
      <w:pPr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>Azure.</w:t>
      </w:r>
      <w:r w:rsidR="00E84312">
        <w:rPr>
          <w:rFonts w:ascii="Arial" w:hAnsi="Arial" w:cs="Arial"/>
          <w:sz w:val="24"/>
          <w:szCs w:val="24"/>
        </w:rPr>
        <w:t xml:space="preserve"> </w:t>
      </w:r>
      <w:r w:rsidR="00E84312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(</w:t>
      </w:r>
      <w:r w:rsidR="00E84312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August 2, 2022</w:t>
      </w:r>
      <w:r w:rsidR="00E84312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E84312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7802F7" w:rsidRPr="007802F7">
        <w:rPr>
          <w:rFonts w:ascii="Arial" w:hAnsi="Arial" w:cs="Arial"/>
          <w:sz w:val="24"/>
          <w:szCs w:val="24"/>
        </w:rPr>
        <w:t>Global data distribution with Azure Cosmos DB - under the hood</w:t>
      </w:r>
      <w:r w:rsidR="007802F7">
        <w:rPr>
          <w:rFonts w:ascii="Arial" w:hAnsi="Arial" w:cs="Arial"/>
          <w:sz w:val="24"/>
          <w:szCs w:val="24"/>
        </w:rPr>
        <w:t>.</w:t>
      </w:r>
      <w:r w:rsidR="007802F7" w:rsidRPr="007802F7">
        <w:t xml:space="preserve"> </w:t>
      </w:r>
      <w:r w:rsidR="007802F7" w:rsidRPr="007802F7">
        <w:rPr>
          <w:rFonts w:ascii="Arial" w:hAnsi="Arial" w:cs="Arial"/>
          <w:sz w:val="24"/>
          <w:szCs w:val="24"/>
        </w:rPr>
        <w:t>Cosmos DB</w:t>
      </w:r>
      <w:r w:rsidR="007802F7"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7802F7" w:rsidRPr="00192FFD">
        <w:rPr>
          <w:rFonts w:ascii="Arial" w:hAnsi="Arial" w:cs="Arial"/>
          <w:sz w:val="24"/>
          <w:szCs w:val="24"/>
          <w:bdr w:val="none" w:sz="0" w:space="0" w:color="auto" w:frame="1"/>
        </w:rPr>
        <w:t>https://docs.microsoft.com/en-us/azure/cosmos-db/global-dist-under-the-hood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3D4A23A6" w14:textId="4A9B85E7" w:rsidR="00C0569A" w:rsidRPr="005A1B48" w:rsidRDefault="00964B9F" w:rsidP="00121196">
      <w:pPr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>Azure. (</w:t>
      </w:r>
      <w:r w:rsidR="00E84312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February 3, 2022</w:t>
      </w:r>
      <w:r w:rsidR="00E84312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E84312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E84312" w:rsidRPr="00E84312">
        <w:rPr>
          <w:rFonts w:ascii="Arial" w:hAnsi="Arial" w:cs="Arial"/>
          <w:sz w:val="24"/>
          <w:szCs w:val="24"/>
        </w:rPr>
        <w:t>Cross-region replication in Azure: Business continuity and disaster recovery</w:t>
      </w:r>
      <w:r w:rsidR="00E84312">
        <w:rPr>
          <w:rFonts w:ascii="Arial" w:hAnsi="Arial" w:cs="Arial"/>
          <w:sz w:val="24"/>
          <w:szCs w:val="24"/>
        </w:rPr>
        <w:t>. A</w:t>
      </w:r>
      <w:r w:rsidR="00E84312" w:rsidRPr="00E84312">
        <w:rPr>
          <w:rFonts w:ascii="Arial" w:hAnsi="Arial" w:cs="Arial"/>
          <w:sz w:val="24"/>
          <w:szCs w:val="24"/>
        </w:rPr>
        <w:t>vailability</w:t>
      </w:r>
      <w:r w:rsidR="00E84312">
        <w:rPr>
          <w:rFonts w:ascii="Arial" w:hAnsi="Arial" w:cs="Arial"/>
          <w:sz w:val="24"/>
          <w:szCs w:val="24"/>
        </w:rPr>
        <w:t xml:space="preserve"> Z</w:t>
      </w:r>
      <w:r w:rsidR="00E84312" w:rsidRPr="00E84312">
        <w:rPr>
          <w:rFonts w:ascii="Arial" w:hAnsi="Arial" w:cs="Arial"/>
          <w:sz w:val="24"/>
          <w:szCs w:val="24"/>
        </w:rPr>
        <w:t>ones</w:t>
      </w:r>
      <w:r w:rsidR="00E84312"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E84312" w:rsidRPr="00192FFD">
        <w:rPr>
          <w:rFonts w:ascii="Arial" w:hAnsi="Arial" w:cs="Arial"/>
          <w:sz w:val="24"/>
          <w:szCs w:val="24"/>
          <w:bdr w:val="none" w:sz="0" w:space="0" w:color="auto" w:frame="1"/>
        </w:rPr>
        <w:t>https://docs.microsoft.com/en-us/azure/availability-zones/cross-region-replication-azure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5D351F60" w14:textId="2883BEF5" w:rsidR="00853B80" w:rsidRPr="005A1B48" w:rsidRDefault="00964B9F" w:rsidP="00F41E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 (</w:t>
      </w:r>
      <w:r w:rsidR="00E84312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N.D.)</w:t>
      </w:r>
      <w:r w:rsidR="00E84312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E84312" w:rsidRPr="00E84312">
        <w:rPr>
          <w:rFonts w:ascii="Arial" w:hAnsi="Arial" w:cs="Arial"/>
          <w:sz w:val="24"/>
          <w:szCs w:val="24"/>
        </w:rPr>
        <w:t>Frequently asked questions for Azure Web Application Firewall on Azure Front Door Service</w:t>
      </w:r>
      <w:r w:rsidR="00E84312">
        <w:rPr>
          <w:rFonts w:ascii="Arial" w:hAnsi="Arial" w:cs="Arial"/>
          <w:sz w:val="24"/>
          <w:szCs w:val="24"/>
        </w:rPr>
        <w:t xml:space="preserve">. </w:t>
      </w:r>
      <w:r w:rsidR="00E84312" w:rsidRPr="00E84312">
        <w:rPr>
          <w:rFonts w:ascii="Arial" w:hAnsi="Arial" w:cs="Arial"/>
          <w:sz w:val="24"/>
          <w:szCs w:val="24"/>
        </w:rPr>
        <w:t>Web Application Firewall</w:t>
      </w:r>
      <w:r w:rsidR="00E84312"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E84312" w:rsidRPr="00192FFD">
        <w:rPr>
          <w:rFonts w:ascii="Arial" w:eastAsia="Times New Roman" w:hAnsi="Arial" w:cs="Arial"/>
          <w:sz w:val="24"/>
          <w:szCs w:val="24"/>
        </w:rPr>
        <w:t>https://docs.microsoft.com/en-us/azure/web-application-firewall/afds/waf-faq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74BEE753" w14:textId="2C72AC13" w:rsidR="00853B80" w:rsidRPr="005A1B48" w:rsidRDefault="00964B9F" w:rsidP="00F41E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 (</w:t>
      </w:r>
      <w:r w:rsidR="0024079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February 16, 2022</w:t>
      </w:r>
      <w:r w:rsidR="0024079C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24079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E84312" w:rsidRPr="00E84312">
        <w:rPr>
          <w:rFonts w:ascii="Arial" w:hAnsi="Arial" w:cs="Arial"/>
          <w:sz w:val="24"/>
          <w:szCs w:val="24"/>
        </w:rPr>
        <w:t>Azure security baseline for Content Delivery Network</w:t>
      </w:r>
      <w:r w:rsidR="00E84312">
        <w:rPr>
          <w:rFonts w:ascii="Arial" w:hAnsi="Arial" w:cs="Arial"/>
          <w:sz w:val="24"/>
          <w:szCs w:val="24"/>
        </w:rPr>
        <w:t xml:space="preserve">. </w:t>
      </w:r>
      <w:r w:rsidR="0024079C" w:rsidRPr="0024079C">
        <w:rPr>
          <w:rFonts w:ascii="Arial" w:hAnsi="Arial" w:cs="Arial"/>
          <w:sz w:val="24"/>
          <w:szCs w:val="24"/>
        </w:rPr>
        <w:t>Security baselines for Azure</w:t>
      </w:r>
      <w:r w:rsidR="0024079C">
        <w:rPr>
          <w:rFonts w:ascii="Arial" w:hAnsi="Arial" w:cs="Arial"/>
          <w:sz w:val="24"/>
          <w:szCs w:val="24"/>
        </w:rPr>
        <w:t>.</w:t>
      </w:r>
      <w:r w:rsidR="0024079C" w:rsidRPr="0024079C">
        <w:rPr>
          <w:rFonts w:ascii="Arial" w:hAnsi="Arial" w:cs="Arial"/>
          <w:sz w:val="24"/>
          <w:szCs w:val="24"/>
        </w:rPr>
        <w:t xml:space="preserve">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853B80" w:rsidRPr="00192FFD">
        <w:rPr>
          <w:rFonts w:ascii="Arial" w:eastAsia="Times New Roman" w:hAnsi="Arial" w:cs="Arial"/>
          <w:sz w:val="24"/>
          <w:szCs w:val="24"/>
        </w:rPr>
        <w:t>https://docs.microsoft.com/en-us/security/benchmark/azure/baselines/content-delivery-network-security-baseline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1BAC6251" w14:textId="231AF111" w:rsidR="00853B80" w:rsidRPr="005A1B48" w:rsidRDefault="00964B9F" w:rsidP="00F41E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 (</w:t>
      </w:r>
      <w:r w:rsidR="00B26D5F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November 17, 2021</w:t>
      </w:r>
      <w:r w:rsidR="00B26D5F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B26D5F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B508BB" w:rsidRPr="00B508BB">
        <w:rPr>
          <w:rFonts w:ascii="Arial" w:hAnsi="Arial" w:cs="Arial"/>
          <w:sz w:val="24"/>
          <w:szCs w:val="24"/>
        </w:rPr>
        <w:t>Azure security baseline for VPN Gateway</w:t>
      </w:r>
      <w:r w:rsidR="00B508BB">
        <w:rPr>
          <w:rFonts w:ascii="Arial" w:hAnsi="Arial" w:cs="Arial"/>
          <w:sz w:val="24"/>
          <w:szCs w:val="24"/>
        </w:rPr>
        <w:t>.</w:t>
      </w:r>
      <w:r w:rsidR="00B508BB" w:rsidRPr="00B508BB">
        <w:rPr>
          <w:rFonts w:ascii="Arial" w:hAnsi="Arial" w:cs="Arial"/>
          <w:sz w:val="24"/>
          <w:szCs w:val="24"/>
        </w:rPr>
        <w:t xml:space="preserve"> </w:t>
      </w:r>
      <w:r w:rsidR="00B508BB" w:rsidRPr="0024079C">
        <w:rPr>
          <w:rFonts w:ascii="Arial" w:hAnsi="Arial" w:cs="Arial"/>
          <w:sz w:val="24"/>
          <w:szCs w:val="24"/>
        </w:rPr>
        <w:t>Security baselines for Azure</w:t>
      </w:r>
      <w:r w:rsidR="00B508BB">
        <w:rPr>
          <w:rFonts w:ascii="Arial" w:hAnsi="Arial" w:cs="Arial"/>
          <w:sz w:val="24"/>
          <w:szCs w:val="24"/>
        </w:rPr>
        <w:t>.</w:t>
      </w:r>
      <w:r w:rsidR="00B508BB" w:rsidRPr="0024079C">
        <w:rPr>
          <w:rFonts w:ascii="Arial" w:hAnsi="Arial" w:cs="Arial"/>
          <w:sz w:val="24"/>
          <w:szCs w:val="24"/>
        </w:rPr>
        <w:t xml:space="preserve">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853B80" w:rsidRPr="00192FFD">
        <w:rPr>
          <w:rFonts w:ascii="Arial" w:eastAsia="Times New Roman" w:hAnsi="Arial" w:cs="Arial"/>
          <w:sz w:val="24"/>
          <w:szCs w:val="24"/>
        </w:rPr>
        <w:t>https://docs.microsoft.com/en-us/security/benchmark/azure/baselines/vpn-gateway-security-baseline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468E2DBD" w14:textId="770F6979" w:rsidR="00853B80" w:rsidRPr="005A1B48" w:rsidRDefault="00964B9F" w:rsidP="00F41E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 (</w:t>
      </w:r>
      <w:r w:rsidR="00B26D5F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November 10, 2021</w:t>
      </w:r>
      <w:r w:rsidR="00B26D5F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B26D5F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B26D5F" w:rsidRPr="00B26D5F">
        <w:rPr>
          <w:rFonts w:ascii="Arial" w:hAnsi="Arial" w:cs="Arial"/>
          <w:sz w:val="24"/>
          <w:szCs w:val="24"/>
        </w:rPr>
        <w:t>Azure security baseline for Application Gateway</w:t>
      </w:r>
      <w:r w:rsidR="00B26D5F">
        <w:rPr>
          <w:rFonts w:ascii="Arial" w:hAnsi="Arial" w:cs="Arial"/>
          <w:sz w:val="24"/>
          <w:szCs w:val="24"/>
        </w:rPr>
        <w:t xml:space="preserve">. </w:t>
      </w:r>
      <w:r w:rsidR="00B26D5F" w:rsidRPr="0024079C">
        <w:rPr>
          <w:rFonts w:ascii="Arial" w:hAnsi="Arial" w:cs="Arial"/>
          <w:sz w:val="24"/>
          <w:szCs w:val="24"/>
        </w:rPr>
        <w:t>Security baselines for Azure</w:t>
      </w:r>
      <w:r w:rsidR="00B26D5F">
        <w:rPr>
          <w:rFonts w:ascii="Arial" w:hAnsi="Arial" w:cs="Arial"/>
          <w:sz w:val="24"/>
          <w:szCs w:val="24"/>
        </w:rPr>
        <w:t>.</w:t>
      </w:r>
      <w:r w:rsidR="00B26D5F" w:rsidRPr="0024079C">
        <w:rPr>
          <w:rFonts w:ascii="Arial" w:hAnsi="Arial" w:cs="Arial"/>
          <w:sz w:val="24"/>
          <w:szCs w:val="24"/>
        </w:rPr>
        <w:t xml:space="preserve">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B26D5F" w:rsidRPr="00192FFD">
        <w:rPr>
          <w:rFonts w:ascii="Arial" w:eastAsia="Times New Roman" w:hAnsi="Arial" w:cs="Arial"/>
          <w:sz w:val="24"/>
          <w:szCs w:val="24"/>
        </w:rPr>
        <w:t>https://docs.microsoft.com/en-us/security/benchmark/azure/baselines/application-gateway-security-baseline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3E3C032B" w14:textId="46D903F8" w:rsidR="00192FFD" w:rsidRDefault="00964B9F" w:rsidP="00F41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Azure. (</w:t>
      </w:r>
      <w:r w:rsidR="00EF09F9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October 19, 2021</w:t>
      </w:r>
      <w:r w:rsidR="00EF09F9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)</w:t>
      </w:r>
      <w:r w:rsidR="00EF09F9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EF09F9" w:rsidRPr="00EF09F9">
        <w:rPr>
          <w:rFonts w:ascii="Arial" w:hAnsi="Arial" w:cs="Arial"/>
          <w:sz w:val="24"/>
          <w:szCs w:val="24"/>
        </w:rPr>
        <w:t>About Azure Key Vault</w:t>
      </w:r>
      <w:r w:rsidR="00EF09F9">
        <w:rPr>
          <w:rFonts w:ascii="Arial" w:hAnsi="Arial" w:cs="Arial"/>
          <w:sz w:val="24"/>
          <w:szCs w:val="24"/>
        </w:rPr>
        <w:t xml:space="preserve">. </w:t>
      </w:r>
      <w:r w:rsidR="00EF09F9" w:rsidRPr="0024079C">
        <w:rPr>
          <w:rFonts w:ascii="Arial" w:hAnsi="Arial" w:cs="Arial"/>
          <w:sz w:val="24"/>
          <w:szCs w:val="24"/>
        </w:rPr>
        <w:t>Security</w:t>
      </w:r>
      <w:r w:rsidR="00EF09F9">
        <w:rPr>
          <w:rFonts w:ascii="Arial" w:hAnsi="Arial" w:cs="Arial"/>
          <w:sz w:val="24"/>
          <w:szCs w:val="24"/>
        </w:rPr>
        <w:t>.</w:t>
      </w:r>
      <w:r w:rsidR="00EF09F9" w:rsidRPr="00EF09F9">
        <w:rPr>
          <w:rFonts w:ascii="Arial" w:hAnsi="Arial" w:cs="Arial"/>
          <w:sz w:val="24"/>
          <w:szCs w:val="24"/>
        </w:rPr>
        <w:t xml:space="preserve">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="00853B80" w:rsidRPr="00192FFD">
        <w:rPr>
          <w:rFonts w:ascii="Arial" w:eastAsia="Times New Roman" w:hAnsi="Arial" w:cs="Arial"/>
          <w:sz w:val="24"/>
          <w:szCs w:val="24"/>
        </w:rPr>
        <w:t>https://docs.microsoft.com/en-us/azure/key-vault/general/overview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11DA8DBA" w14:textId="12E4DC4A" w:rsidR="00964B9F" w:rsidRPr="00964B9F" w:rsidRDefault="00964B9F" w:rsidP="00F41E32">
      <w:pPr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CHX Products</w:t>
      </w:r>
      <w: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.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(N.D.) Spork. Food &amp; Drinkware. Available from: https://www.chxproducts.co.uk/product/spork/ </w:t>
      </w:r>
      <w:r w:rsidRPr="00FB7D1C">
        <w:rPr>
          <w:rFonts w:ascii="Arial" w:hAnsi="Arial" w:cs="Arial"/>
          <w:sz w:val="24"/>
          <w:szCs w:val="24"/>
        </w:rPr>
        <w:t>[Accessed 15 April 2022]</w:t>
      </w:r>
    </w:p>
    <w:p w14:paraId="76313F8E" w14:textId="77777777" w:rsidR="00964B9F" w:rsidRPr="005A1B48" w:rsidRDefault="00964B9F" w:rsidP="00964B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CISA. (</w:t>
      </w:r>
      <w:r w:rsidRPr="000F36DF">
        <w:rPr>
          <w:rFonts w:ascii="Arial" w:hAnsi="Arial" w:cs="Arial"/>
          <w:sz w:val="24"/>
          <w:szCs w:val="24"/>
        </w:rPr>
        <w:t>June 30, 2020</w:t>
      </w:r>
      <w:r>
        <w:rPr>
          <w:rFonts w:ascii="Arial" w:hAnsi="Arial" w:cs="Arial"/>
          <w:sz w:val="24"/>
          <w:szCs w:val="24"/>
        </w:rPr>
        <w:t xml:space="preserve">) </w:t>
      </w:r>
      <w:r w:rsidRPr="000F36DF">
        <w:rPr>
          <w:rFonts w:ascii="Arial" w:hAnsi="Arial" w:cs="Arial"/>
          <w:sz w:val="24"/>
          <w:szCs w:val="24"/>
        </w:rPr>
        <w:t>Security Tip (ST18-001)</w:t>
      </w:r>
      <w:r>
        <w:rPr>
          <w:rFonts w:ascii="Arial" w:hAnsi="Arial" w:cs="Arial"/>
          <w:sz w:val="24"/>
          <w:szCs w:val="24"/>
        </w:rPr>
        <w:t xml:space="preserve">. </w:t>
      </w:r>
      <w:r w:rsidRPr="000F36DF">
        <w:rPr>
          <w:rFonts w:ascii="Arial" w:hAnsi="Arial" w:cs="Arial"/>
          <w:sz w:val="24"/>
          <w:szCs w:val="24"/>
        </w:rPr>
        <w:t>National Cyber Awareness System</w:t>
      </w:r>
      <w:r>
        <w:rPr>
          <w:rFonts w:ascii="Arial" w:hAnsi="Arial" w:cs="Arial"/>
          <w:sz w:val="24"/>
          <w:szCs w:val="24"/>
        </w:rPr>
        <w:t>.</w:t>
      </w:r>
      <w:r w:rsidRPr="000F36DF">
        <w:rPr>
          <w:rFonts w:ascii="Arial" w:hAnsi="Arial" w:cs="Arial"/>
          <w:sz w:val="24"/>
          <w:szCs w:val="24"/>
        </w:rPr>
        <w:t xml:space="preserve"> 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Pr="00192FFD">
        <w:rPr>
          <w:rFonts w:ascii="Arial" w:eastAsia="Times New Roman" w:hAnsi="Arial" w:cs="Arial"/>
          <w:sz w:val="24"/>
          <w:szCs w:val="24"/>
        </w:rPr>
        <w:t>https://www.cisa.gov/uscert/ncas/tips/ST18-001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Pr="00FB7D1C">
        <w:rPr>
          <w:rFonts w:ascii="Arial" w:hAnsi="Arial" w:cs="Arial"/>
          <w:sz w:val="24"/>
          <w:szCs w:val="24"/>
        </w:rPr>
        <w:t>[Accessed 15 April 2022]</w:t>
      </w:r>
    </w:p>
    <w:p w14:paraId="6C75A678" w14:textId="0E7A1EE8" w:rsidR="00964B9F" w:rsidRPr="005A1B48" w:rsidRDefault="00964B9F" w:rsidP="00964B9F">
      <w:pPr>
        <w:rPr>
          <w:rStyle w:val="a7"/>
          <w:rFonts w:ascii="Arial" w:hAnsi="Arial" w:cs="Arial"/>
          <w:sz w:val="24"/>
          <w:szCs w:val="24"/>
          <w:bdr w:val="none" w:sz="0" w:space="0" w:color="auto" w:frame="1"/>
        </w:rPr>
      </w:pPr>
      <w:r w:rsidRPr="00FB7D1C">
        <w:rPr>
          <w:rFonts w:ascii="Arial" w:eastAsia="Times New Roman" w:hAnsi="Arial" w:cs="Arial"/>
          <w:sz w:val="24"/>
          <w:szCs w:val="24"/>
        </w:rPr>
        <w:t>Gremlin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(N.D.)</w:t>
      </w:r>
      <w: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Pr="005352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Why Do Large Ecommerce Sites Go </w:t>
      </w:r>
      <w:proofErr w:type="gramStart"/>
      <w:r w:rsidRPr="005352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Down?</w:t>
      </w:r>
      <w: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.</w:t>
      </w:r>
      <w:proofErr w:type="gramEnd"/>
      <w: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Pr="005352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The Cost of Downtime for the Top US Ecommerce Sites</w:t>
      </w:r>
      <w:r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. 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Pr="00192FFD">
        <w:rPr>
          <w:rFonts w:ascii="Arial" w:hAnsi="Arial" w:cs="Arial"/>
          <w:sz w:val="24"/>
          <w:szCs w:val="24"/>
          <w:bdr w:val="none" w:sz="0" w:space="0" w:color="auto" w:frame="1"/>
        </w:rPr>
        <w:t>https://www.gremlin.com/ecommerce-cost-of-downtime/</w:t>
      </w:r>
      <w:r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Pr="00FB7D1C">
        <w:rPr>
          <w:rFonts w:ascii="Arial" w:hAnsi="Arial" w:cs="Arial"/>
          <w:sz w:val="24"/>
          <w:szCs w:val="24"/>
        </w:rPr>
        <w:t>[Accessed 15 April 2022]</w:t>
      </w:r>
    </w:p>
    <w:p w14:paraId="65312F43" w14:textId="051AF912" w:rsidR="00853B80" w:rsidRPr="005A1B48" w:rsidRDefault="00EF09F9" w:rsidP="00F41E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NIST. (</w:t>
      </w:r>
      <w:r w:rsidRPr="00EF09F9">
        <w:rPr>
          <w:rFonts w:ascii="Arial" w:hAnsi="Arial" w:cs="Arial"/>
          <w:sz w:val="24"/>
          <w:szCs w:val="24"/>
        </w:rPr>
        <w:t>December 9, 2021</w:t>
      </w:r>
      <w:r>
        <w:rPr>
          <w:rFonts w:ascii="Arial" w:hAnsi="Arial" w:cs="Arial"/>
          <w:sz w:val="24"/>
          <w:szCs w:val="24"/>
        </w:rPr>
        <w:t xml:space="preserve">) </w:t>
      </w:r>
      <w:r w:rsidRPr="00EF09F9">
        <w:rPr>
          <w:rFonts w:ascii="Arial" w:hAnsi="Arial" w:cs="Arial"/>
          <w:sz w:val="24"/>
          <w:szCs w:val="24"/>
        </w:rPr>
        <w:t>Developing Cyber Resilient Systems: A Systems Security Engineering Approach</w:t>
      </w:r>
      <w:r>
        <w:rPr>
          <w:rFonts w:ascii="Arial" w:hAnsi="Arial" w:cs="Arial"/>
          <w:sz w:val="24"/>
          <w:szCs w:val="24"/>
        </w:rPr>
        <w:t xml:space="preserve">. </w:t>
      </w:r>
      <w:r w:rsidRPr="00EF09F9">
        <w:rPr>
          <w:rFonts w:ascii="Arial" w:hAnsi="Arial" w:cs="Arial"/>
          <w:sz w:val="24"/>
          <w:szCs w:val="24"/>
        </w:rPr>
        <w:t>NIST Special Publication 800-160 Vol. 2</w:t>
      </w:r>
      <w:r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Pr="00192FFD">
        <w:rPr>
          <w:rFonts w:ascii="Arial" w:eastAsia="Times New Roman" w:hAnsi="Arial" w:cs="Arial"/>
          <w:sz w:val="24"/>
          <w:szCs w:val="24"/>
        </w:rPr>
        <w:t>https://nvlpubs.nist.gov/nistpubs/SpecialPublications/NIST.SP.800-160v2.pdf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30D0B8AB" w14:textId="77BB8E33" w:rsidR="0023349E" w:rsidRPr="005A1B48" w:rsidRDefault="00EE291A" w:rsidP="000F36D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NIST. (</w:t>
      </w:r>
      <w:r w:rsidRPr="00EE291A">
        <w:rPr>
          <w:rFonts w:ascii="Arial" w:hAnsi="Arial" w:cs="Arial"/>
          <w:sz w:val="24"/>
          <w:szCs w:val="24"/>
        </w:rPr>
        <w:t>APRIL 23, 2020</w:t>
      </w:r>
      <w:r>
        <w:rPr>
          <w:rFonts w:ascii="Arial" w:hAnsi="Arial" w:cs="Arial"/>
          <w:sz w:val="24"/>
          <w:szCs w:val="24"/>
        </w:rPr>
        <w:t xml:space="preserve">) </w:t>
      </w:r>
      <w:r w:rsidR="000F36DF" w:rsidRPr="000F36DF">
        <w:rPr>
          <w:rFonts w:ascii="Arial" w:hAnsi="Arial" w:cs="Arial"/>
          <w:sz w:val="24"/>
          <w:szCs w:val="24"/>
        </w:rPr>
        <w:t>Secure Software Development Framework (SSDF) Version 1.1:</w:t>
      </w:r>
      <w:r>
        <w:rPr>
          <w:rFonts w:ascii="Arial" w:hAnsi="Arial" w:cs="Arial"/>
          <w:sz w:val="24"/>
          <w:szCs w:val="24"/>
        </w:rPr>
        <w:t xml:space="preserve"> </w:t>
      </w:r>
      <w:r w:rsidR="000F36DF" w:rsidRPr="000F36DF">
        <w:rPr>
          <w:rFonts w:ascii="Arial" w:hAnsi="Arial" w:cs="Arial"/>
          <w:sz w:val="24"/>
          <w:szCs w:val="24"/>
        </w:rPr>
        <w:t>Recommendations for Mitigating the Risk of Software</w:t>
      </w:r>
      <w:r>
        <w:rPr>
          <w:rFonts w:ascii="Arial" w:hAnsi="Arial" w:cs="Arial"/>
          <w:sz w:val="24"/>
          <w:szCs w:val="24"/>
        </w:rPr>
        <w:t xml:space="preserve"> </w:t>
      </w:r>
      <w:r w:rsidR="000F36DF" w:rsidRPr="000F36DF">
        <w:rPr>
          <w:rFonts w:ascii="Arial" w:hAnsi="Arial" w:cs="Arial"/>
          <w:sz w:val="24"/>
          <w:szCs w:val="24"/>
        </w:rPr>
        <w:t>Vulnerabilities</w:t>
      </w:r>
      <w:r w:rsidR="000F36DF">
        <w:rPr>
          <w:rFonts w:ascii="Arial" w:hAnsi="Arial" w:cs="Arial"/>
          <w:sz w:val="24"/>
          <w:szCs w:val="24"/>
        </w:rPr>
        <w:t xml:space="preserve">. </w:t>
      </w:r>
      <w:r w:rsidRPr="00EE291A">
        <w:rPr>
          <w:rFonts w:ascii="Arial" w:hAnsi="Arial" w:cs="Arial"/>
          <w:sz w:val="24"/>
          <w:szCs w:val="24"/>
        </w:rPr>
        <w:t>NIST Special Publication 800-218</w:t>
      </w:r>
      <w:r>
        <w:rPr>
          <w:rFonts w:ascii="Arial" w:hAnsi="Arial" w:cs="Arial"/>
          <w:sz w:val="24"/>
          <w:szCs w:val="24"/>
        </w:rPr>
        <w:t xml:space="preserve">. 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Available from: </w:t>
      </w:r>
      <w:r w:rsidRPr="00192FFD">
        <w:rPr>
          <w:rFonts w:ascii="Arial" w:eastAsia="Times New Roman" w:hAnsi="Arial" w:cs="Arial"/>
          <w:sz w:val="24"/>
          <w:szCs w:val="24"/>
        </w:rPr>
        <w:t>https://nvlpubs.nist.gov/nistpubs/CSWP/NIST.CSWP.04232020.pdf</w:t>
      </w:r>
      <w:r w:rsidR="00192FFD" w:rsidRPr="00FB7D1C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92FFD" w:rsidRPr="00FB7D1C">
        <w:rPr>
          <w:rFonts w:ascii="Arial" w:hAnsi="Arial" w:cs="Arial"/>
          <w:sz w:val="24"/>
          <w:szCs w:val="24"/>
        </w:rPr>
        <w:t>[Accessed 15 April 2022]</w:t>
      </w:r>
    </w:p>
    <w:p w14:paraId="5DB7843C" w14:textId="2904D960" w:rsidR="00551F02" w:rsidRDefault="00551F02" w:rsidP="00F41E32">
      <w:pPr>
        <w:rPr>
          <w:rFonts w:ascii="Arial" w:eastAsia="Times New Roman" w:hAnsi="Arial" w:cs="Arial"/>
          <w:sz w:val="24"/>
          <w:szCs w:val="24"/>
        </w:rPr>
      </w:pPr>
    </w:p>
    <w:sectPr w:rsidR="00551F02" w:rsidSect="00500C44">
      <w:pgSz w:w="11906" w:h="16838"/>
      <w:pgMar w:top="567" w:right="567" w:bottom="567" w:left="567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93A3" w14:textId="77777777" w:rsidR="000351E9" w:rsidRDefault="000351E9" w:rsidP="00FB7DBF">
      <w:pPr>
        <w:spacing w:after="0" w:line="240" w:lineRule="auto"/>
      </w:pPr>
      <w:r>
        <w:separator/>
      </w:r>
    </w:p>
  </w:endnote>
  <w:endnote w:type="continuationSeparator" w:id="0">
    <w:p w14:paraId="65D3F419" w14:textId="77777777" w:rsidR="000351E9" w:rsidRDefault="000351E9" w:rsidP="00F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0973" w14:textId="32E26162" w:rsidR="00500C44" w:rsidRDefault="00500C44" w:rsidP="009A2DE3">
    <w:pPr>
      <w:pStyle w:val="a5"/>
      <w:ind w:right="220"/>
      <w:jc w:val="right"/>
    </w:pPr>
  </w:p>
  <w:p w14:paraId="444A6C8B" w14:textId="77777777" w:rsidR="00500C44" w:rsidRDefault="00500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1885" w14:textId="77777777" w:rsidR="000351E9" w:rsidRDefault="000351E9" w:rsidP="00FB7DBF">
      <w:pPr>
        <w:spacing w:after="0" w:line="240" w:lineRule="auto"/>
      </w:pPr>
      <w:r>
        <w:separator/>
      </w:r>
    </w:p>
  </w:footnote>
  <w:footnote w:type="continuationSeparator" w:id="0">
    <w:p w14:paraId="4F83892A" w14:textId="77777777" w:rsidR="000351E9" w:rsidRDefault="000351E9" w:rsidP="00FB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FC8"/>
    <w:multiLevelType w:val="multilevel"/>
    <w:tmpl w:val="C15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815F1"/>
    <w:multiLevelType w:val="multilevel"/>
    <w:tmpl w:val="E806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74048"/>
    <w:multiLevelType w:val="multilevel"/>
    <w:tmpl w:val="90D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9C3"/>
    <w:multiLevelType w:val="multilevel"/>
    <w:tmpl w:val="0B8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B76D0"/>
    <w:multiLevelType w:val="multilevel"/>
    <w:tmpl w:val="E806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8411F"/>
    <w:multiLevelType w:val="hybridMultilevel"/>
    <w:tmpl w:val="2C6ED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11E"/>
    <w:multiLevelType w:val="multilevel"/>
    <w:tmpl w:val="452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7640"/>
    <w:multiLevelType w:val="multilevel"/>
    <w:tmpl w:val="891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84480">
    <w:abstractNumId w:val="3"/>
  </w:num>
  <w:num w:numId="2" w16cid:durableId="1157070806">
    <w:abstractNumId w:val="0"/>
  </w:num>
  <w:num w:numId="3" w16cid:durableId="1469203427">
    <w:abstractNumId w:val="7"/>
  </w:num>
  <w:num w:numId="4" w16cid:durableId="2032954365">
    <w:abstractNumId w:val="1"/>
  </w:num>
  <w:num w:numId="5" w16cid:durableId="357241189">
    <w:abstractNumId w:val="6"/>
  </w:num>
  <w:num w:numId="6" w16cid:durableId="826556334">
    <w:abstractNumId w:val="2"/>
  </w:num>
  <w:num w:numId="7" w16cid:durableId="1448699408">
    <w:abstractNumId w:val="4"/>
  </w:num>
  <w:num w:numId="8" w16cid:durableId="34821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13"/>
    <w:rsid w:val="000219E4"/>
    <w:rsid w:val="000351E9"/>
    <w:rsid w:val="0005191E"/>
    <w:rsid w:val="00064FFA"/>
    <w:rsid w:val="00081344"/>
    <w:rsid w:val="00092FBA"/>
    <w:rsid w:val="000B0A15"/>
    <w:rsid w:val="000B3EA7"/>
    <w:rsid w:val="000D2197"/>
    <w:rsid w:val="000D22F6"/>
    <w:rsid w:val="000D471C"/>
    <w:rsid w:val="000F36DF"/>
    <w:rsid w:val="00121196"/>
    <w:rsid w:val="00131C72"/>
    <w:rsid w:val="00135692"/>
    <w:rsid w:val="001857DA"/>
    <w:rsid w:val="00192FFD"/>
    <w:rsid w:val="001B05C3"/>
    <w:rsid w:val="001B64DD"/>
    <w:rsid w:val="001D6632"/>
    <w:rsid w:val="00201459"/>
    <w:rsid w:val="00204110"/>
    <w:rsid w:val="00210CD2"/>
    <w:rsid w:val="002159F8"/>
    <w:rsid w:val="0023349E"/>
    <w:rsid w:val="0024079C"/>
    <w:rsid w:val="002677EC"/>
    <w:rsid w:val="002838DE"/>
    <w:rsid w:val="002A08E3"/>
    <w:rsid w:val="002A1F6E"/>
    <w:rsid w:val="002A31DF"/>
    <w:rsid w:val="00332E98"/>
    <w:rsid w:val="00352846"/>
    <w:rsid w:val="003A3D79"/>
    <w:rsid w:val="003B4C3B"/>
    <w:rsid w:val="00431DBE"/>
    <w:rsid w:val="00432C63"/>
    <w:rsid w:val="004373A6"/>
    <w:rsid w:val="00451F24"/>
    <w:rsid w:val="004A1339"/>
    <w:rsid w:val="00500C44"/>
    <w:rsid w:val="005067CA"/>
    <w:rsid w:val="00510D28"/>
    <w:rsid w:val="00534ADC"/>
    <w:rsid w:val="0053521C"/>
    <w:rsid w:val="00551F02"/>
    <w:rsid w:val="0056070A"/>
    <w:rsid w:val="005A1B48"/>
    <w:rsid w:val="005C1F11"/>
    <w:rsid w:val="005C3BFF"/>
    <w:rsid w:val="005C71FC"/>
    <w:rsid w:val="005E4504"/>
    <w:rsid w:val="006306CF"/>
    <w:rsid w:val="006365C2"/>
    <w:rsid w:val="006731C2"/>
    <w:rsid w:val="0067720D"/>
    <w:rsid w:val="006C0EFC"/>
    <w:rsid w:val="006F0D98"/>
    <w:rsid w:val="00703631"/>
    <w:rsid w:val="007263CB"/>
    <w:rsid w:val="00757160"/>
    <w:rsid w:val="007802F7"/>
    <w:rsid w:val="007D16A3"/>
    <w:rsid w:val="0082079E"/>
    <w:rsid w:val="00853B80"/>
    <w:rsid w:val="00855E9E"/>
    <w:rsid w:val="008C06CF"/>
    <w:rsid w:val="008F772F"/>
    <w:rsid w:val="0090553E"/>
    <w:rsid w:val="00911D03"/>
    <w:rsid w:val="00925002"/>
    <w:rsid w:val="009423E4"/>
    <w:rsid w:val="00964B9F"/>
    <w:rsid w:val="00972C44"/>
    <w:rsid w:val="009A2DE3"/>
    <w:rsid w:val="009D700D"/>
    <w:rsid w:val="00A12614"/>
    <w:rsid w:val="00A305C8"/>
    <w:rsid w:val="00A358FA"/>
    <w:rsid w:val="00A651A3"/>
    <w:rsid w:val="00AA3019"/>
    <w:rsid w:val="00AB3813"/>
    <w:rsid w:val="00AC14EE"/>
    <w:rsid w:val="00AC45D7"/>
    <w:rsid w:val="00AD0517"/>
    <w:rsid w:val="00AE4CEF"/>
    <w:rsid w:val="00B26D5F"/>
    <w:rsid w:val="00B43433"/>
    <w:rsid w:val="00B508BB"/>
    <w:rsid w:val="00B52B0F"/>
    <w:rsid w:val="00B630D5"/>
    <w:rsid w:val="00B64389"/>
    <w:rsid w:val="00B72491"/>
    <w:rsid w:val="00B9015C"/>
    <w:rsid w:val="00BC41F3"/>
    <w:rsid w:val="00BC48CC"/>
    <w:rsid w:val="00BE4F01"/>
    <w:rsid w:val="00C0569A"/>
    <w:rsid w:val="00C311A9"/>
    <w:rsid w:val="00C32C47"/>
    <w:rsid w:val="00C4787D"/>
    <w:rsid w:val="00C53D7C"/>
    <w:rsid w:val="00C72DDE"/>
    <w:rsid w:val="00C8085B"/>
    <w:rsid w:val="00CB5229"/>
    <w:rsid w:val="00CB534D"/>
    <w:rsid w:val="00CD4988"/>
    <w:rsid w:val="00D1387B"/>
    <w:rsid w:val="00D506AF"/>
    <w:rsid w:val="00D536E0"/>
    <w:rsid w:val="00D73F3F"/>
    <w:rsid w:val="00D80144"/>
    <w:rsid w:val="00DB4B33"/>
    <w:rsid w:val="00DC07BD"/>
    <w:rsid w:val="00DE383C"/>
    <w:rsid w:val="00E0497A"/>
    <w:rsid w:val="00E15A0B"/>
    <w:rsid w:val="00E30907"/>
    <w:rsid w:val="00E32944"/>
    <w:rsid w:val="00E51B99"/>
    <w:rsid w:val="00E57D14"/>
    <w:rsid w:val="00E641C3"/>
    <w:rsid w:val="00E71ED1"/>
    <w:rsid w:val="00E84312"/>
    <w:rsid w:val="00E8626E"/>
    <w:rsid w:val="00EA46D3"/>
    <w:rsid w:val="00ED5FEE"/>
    <w:rsid w:val="00EE291A"/>
    <w:rsid w:val="00EF09F9"/>
    <w:rsid w:val="00F41E32"/>
    <w:rsid w:val="00F5304A"/>
    <w:rsid w:val="00FB7D1C"/>
    <w:rsid w:val="00FB7DBF"/>
    <w:rsid w:val="00FD763F"/>
    <w:rsid w:val="00FD7AAF"/>
    <w:rsid w:val="00FE078C"/>
    <w:rsid w:val="00FF3DD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9A5E9"/>
  <w15:chartTrackingRefBased/>
  <w15:docId w15:val="{59A1A989-E5B0-42A1-9083-01EB517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BF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C3BFF"/>
    <w:pPr>
      <w:widowControl/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B7DBF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B7DBF"/>
  </w:style>
  <w:style w:type="paragraph" w:styleId="a5">
    <w:name w:val="footer"/>
    <w:basedOn w:val="a"/>
    <w:link w:val="a6"/>
    <w:uiPriority w:val="99"/>
    <w:unhideWhenUsed/>
    <w:rsid w:val="00FB7D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B7DBF"/>
  </w:style>
  <w:style w:type="character" w:customStyle="1" w:styleId="20">
    <w:name w:val="標題 2 字元"/>
    <w:basedOn w:val="a0"/>
    <w:link w:val="2"/>
    <w:uiPriority w:val="9"/>
    <w:rsid w:val="005C3BFF"/>
    <w:rPr>
      <w:rFonts w:ascii="Arial" w:eastAsia="Times New Roman" w:hAnsi="Arial" w:cs="Times New Roman"/>
      <w:b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FB7D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B7DB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B7DBF"/>
    <w:rPr>
      <w:b/>
      <w:bCs/>
    </w:rPr>
  </w:style>
  <w:style w:type="character" w:styleId="a8">
    <w:name w:val="Emphasis"/>
    <w:basedOn w:val="a0"/>
    <w:uiPriority w:val="20"/>
    <w:qFormat/>
    <w:rsid w:val="00FB7DBF"/>
    <w:rPr>
      <w:i/>
      <w:iCs/>
    </w:rPr>
  </w:style>
  <w:style w:type="character" w:styleId="a9">
    <w:name w:val="Hyperlink"/>
    <w:basedOn w:val="a0"/>
    <w:uiPriority w:val="99"/>
    <w:unhideWhenUsed/>
    <w:rsid w:val="00B52B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2B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305C8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AE4CEF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5C3BFF"/>
    <w:rPr>
      <w:rFonts w:ascii="Arial" w:eastAsiaTheme="majorEastAsia" w:hAnsi="Arial" w:cstheme="majorBidi"/>
      <w:b/>
      <w:sz w:val="28"/>
      <w:szCs w:val="32"/>
    </w:rPr>
  </w:style>
  <w:style w:type="table" w:styleId="ad">
    <w:name w:val="Table Grid"/>
    <w:basedOn w:val="a1"/>
    <w:uiPriority w:val="39"/>
    <w:rsid w:val="00EA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535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24A1-11BF-40DE-8D58-01CE2672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2</cp:revision>
  <cp:lastPrinted>2022-04-18T14:01:00Z</cp:lastPrinted>
  <dcterms:created xsi:type="dcterms:W3CDTF">2022-04-18T14:26:00Z</dcterms:created>
  <dcterms:modified xsi:type="dcterms:W3CDTF">2022-04-18T14:26:00Z</dcterms:modified>
</cp:coreProperties>
</file>