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F6EBF" w:rsidRDefault="001677C5">
      <w:pPr>
        <w:jc w:val="center"/>
        <w:rPr>
          <w:sz w:val="24"/>
          <w:szCs w:val="24"/>
        </w:rPr>
      </w:pPr>
      <w:r>
        <w:rPr>
          <w:sz w:val="32"/>
          <w:szCs w:val="32"/>
          <w:u w:val="single"/>
        </w:rPr>
        <w:t>Project 2.1: Data Cleanup</w:t>
      </w:r>
    </w:p>
    <w:p w:rsidR="00FF6EBF" w:rsidRDefault="001677C5">
      <w:pPr>
        <w:pStyle w:val="Heading2"/>
        <w:keepNext w:val="0"/>
        <w:keepLines w:val="0"/>
        <w:spacing w:before="240" w:after="40"/>
      </w:pPr>
      <w:r>
        <w:t>Step 1: Business and Data Understanding</w:t>
      </w:r>
    </w:p>
    <w:p w:rsidR="00007799" w:rsidRDefault="00007799">
      <w:pPr>
        <w:rPr>
          <w:i/>
          <w:sz w:val="20"/>
        </w:rPr>
      </w:pPr>
    </w:p>
    <w:p w:rsidR="00007799" w:rsidRPr="003C6C9E" w:rsidRDefault="00007799" w:rsidP="00007799">
      <w:pPr>
        <w:rPr>
          <w:sz w:val="20"/>
        </w:rPr>
      </w:pPr>
      <w:proofErr w:type="spellStart"/>
      <w:r w:rsidRPr="003C6C9E">
        <w:rPr>
          <w:sz w:val="20"/>
        </w:rPr>
        <w:t>Pawdacity</w:t>
      </w:r>
      <w:proofErr w:type="spellEnd"/>
      <w:r w:rsidRPr="003C6C9E">
        <w:rPr>
          <w:sz w:val="20"/>
        </w:rPr>
        <w:t xml:space="preserve">, the leading pet store chain in Wyoming is looking to expand by opening a new store. </w:t>
      </w:r>
      <w:proofErr w:type="spellStart"/>
      <w:r w:rsidRPr="003C6C9E">
        <w:rPr>
          <w:sz w:val="20"/>
        </w:rPr>
        <w:t>Pawdacity</w:t>
      </w:r>
      <w:proofErr w:type="spellEnd"/>
      <w:r w:rsidRPr="003C6C9E">
        <w:rPr>
          <w:sz w:val="20"/>
        </w:rPr>
        <w:t xml:space="preserve"> currently has 13 stores across Wyoming. This purpose of this analysis is to recommend potential city for new store based on available data such as sales, demographic info etc. </w:t>
      </w:r>
    </w:p>
    <w:p w:rsidR="00FF6EBF" w:rsidRDefault="001677C5">
      <w:pPr>
        <w:pStyle w:val="Heading3"/>
      </w:pPr>
      <w:r>
        <w:t>Key Decisions:</w:t>
      </w:r>
    </w:p>
    <w:p w:rsidR="00FF6EBF" w:rsidRDefault="001677C5">
      <w:r>
        <w:rPr>
          <w:i/>
          <w:sz w:val="20"/>
          <w:szCs w:val="20"/>
        </w:rPr>
        <w:t>Answer these questions</w:t>
      </w:r>
    </w:p>
    <w:p w:rsidR="00FF6EBF" w:rsidRDefault="00FF6EBF"/>
    <w:p w:rsidR="003C6C9E" w:rsidRDefault="001677C5">
      <w:pPr>
        <w:numPr>
          <w:ilvl w:val="0"/>
          <w:numId w:val="1"/>
        </w:numPr>
        <w:ind w:hanging="360"/>
        <w:contextualSpacing/>
      </w:pPr>
      <w:r>
        <w:t>What decisions needs to be made?</w:t>
      </w:r>
      <w:r w:rsidR="00007799">
        <w:t xml:space="preserve"> </w:t>
      </w:r>
    </w:p>
    <w:p w:rsidR="00FF6EBF" w:rsidRPr="003C6C9E" w:rsidRDefault="005153F9" w:rsidP="003C6C9E">
      <w:pPr>
        <w:ind w:left="720"/>
        <w:contextualSpacing/>
      </w:pPr>
      <w:r w:rsidRPr="003C6C9E">
        <w:rPr>
          <w:sz w:val="20"/>
        </w:rPr>
        <w:t xml:space="preserve">Of the data available, identify </w:t>
      </w:r>
      <w:r w:rsidR="006B27B8" w:rsidRPr="003C6C9E">
        <w:rPr>
          <w:sz w:val="20"/>
        </w:rPr>
        <w:t>dataset (and data points) that will be useful for prediction. Identify location for 14</w:t>
      </w:r>
      <w:r w:rsidR="006B27B8" w:rsidRPr="003C6C9E">
        <w:rPr>
          <w:sz w:val="20"/>
          <w:vertAlign w:val="superscript"/>
        </w:rPr>
        <w:t>th</w:t>
      </w:r>
      <w:r w:rsidR="006B27B8" w:rsidRPr="003C6C9E">
        <w:rPr>
          <w:sz w:val="20"/>
        </w:rPr>
        <w:t xml:space="preserve"> store.</w:t>
      </w:r>
    </w:p>
    <w:p w:rsidR="00FF6EBF" w:rsidRDefault="00FF6EBF"/>
    <w:p w:rsidR="003C6C9E" w:rsidRDefault="001677C5" w:rsidP="006B27B8">
      <w:pPr>
        <w:numPr>
          <w:ilvl w:val="0"/>
          <w:numId w:val="1"/>
        </w:numPr>
        <w:ind w:hanging="360"/>
        <w:contextualSpacing/>
      </w:pPr>
      <w:r>
        <w:t>What data is needed to inform those decisions?</w:t>
      </w:r>
      <w:r w:rsidR="006B27B8">
        <w:t xml:space="preserve"> </w:t>
      </w:r>
    </w:p>
    <w:p w:rsidR="006B27B8" w:rsidRPr="003C6C9E" w:rsidRDefault="006B27B8" w:rsidP="003C6C9E">
      <w:pPr>
        <w:ind w:left="720"/>
        <w:contextualSpacing/>
        <w:rPr>
          <w:sz w:val="20"/>
        </w:rPr>
      </w:pPr>
      <w:r w:rsidRPr="003C6C9E">
        <w:rPr>
          <w:sz w:val="20"/>
        </w:rPr>
        <w:t xml:space="preserve">Following datasets will be needed – </w:t>
      </w:r>
    </w:p>
    <w:p w:rsidR="006B27B8" w:rsidRPr="003C6C9E" w:rsidRDefault="006B27B8" w:rsidP="006B27B8">
      <w:pPr>
        <w:pStyle w:val="ListParagraph"/>
        <w:numPr>
          <w:ilvl w:val="0"/>
          <w:numId w:val="2"/>
        </w:numPr>
        <w:rPr>
          <w:sz w:val="20"/>
        </w:rPr>
      </w:pPr>
      <w:r w:rsidRPr="003C6C9E">
        <w:rPr>
          <w:sz w:val="20"/>
        </w:rPr>
        <w:t>p2-2010-pawdacity-monthly-sales-p2-2010-pawdacity-monthly-sales.csv</w:t>
      </w:r>
    </w:p>
    <w:p w:rsidR="006B27B8" w:rsidRPr="003C6C9E" w:rsidRDefault="006B27B8" w:rsidP="006B27B8">
      <w:pPr>
        <w:pStyle w:val="ListParagraph"/>
        <w:numPr>
          <w:ilvl w:val="0"/>
          <w:numId w:val="2"/>
        </w:numPr>
        <w:rPr>
          <w:sz w:val="20"/>
        </w:rPr>
      </w:pPr>
      <w:r w:rsidRPr="003C6C9E">
        <w:rPr>
          <w:sz w:val="20"/>
        </w:rPr>
        <w:t>p2-wy-demographic-data.csv</w:t>
      </w:r>
    </w:p>
    <w:p w:rsidR="006B27B8" w:rsidRDefault="006B27B8" w:rsidP="006B27B8">
      <w:pPr>
        <w:pStyle w:val="ListParagraph"/>
        <w:numPr>
          <w:ilvl w:val="0"/>
          <w:numId w:val="2"/>
        </w:numPr>
      </w:pPr>
      <w:r w:rsidRPr="003C6C9E">
        <w:rPr>
          <w:sz w:val="20"/>
        </w:rPr>
        <w:t>p2-partially-parsed-wy-web-scrape.csv</w:t>
      </w:r>
    </w:p>
    <w:p w:rsidR="00FF6EBF" w:rsidRDefault="001677C5">
      <w:pPr>
        <w:pStyle w:val="Heading2"/>
        <w:keepNext w:val="0"/>
        <w:keepLines w:val="0"/>
        <w:spacing w:before="240" w:after="40"/>
      </w:pPr>
      <w:r>
        <w:t>Step 2: Building the Training Set</w:t>
      </w:r>
    </w:p>
    <w:p w:rsidR="00FF6EBF" w:rsidRDefault="001677C5">
      <w:pPr>
        <w:rPr>
          <w:i/>
          <w:sz w:val="20"/>
          <w:szCs w:val="20"/>
        </w:rPr>
      </w:pPr>
      <w:r>
        <w:rPr>
          <w:i/>
          <w:sz w:val="20"/>
          <w:szCs w:val="20"/>
        </w:rPr>
        <w:t xml:space="preserve">In </w:t>
      </w:r>
      <w:proofErr w:type="gramStart"/>
      <w:r>
        <w:rPr>
          <w:i/>
          <w:sz w:val="20"/>
          <w:szCs w:val="20"/>
        </w:rPr>
        <w:t>addition</w:t>
      </w:r>
      <w:proofErr w:type="gramEnd"/>
      <w:r>
        <w:rPr>
          <w:i/>
          <w:sz w:val="20"/>
          <w:szCs w:val="20"/>
        </w:rPr>
        <w:t xml:space="preserve"> provide the averages on your data set here to help reviewers check your work. You should round up to two decimal places, ex: 1.24</w:t>
      </w:r>
    </w:p>
    <w:p w:rsidR="00FF6EBF" w:rsidRDefault="00FF6EBF">
      <w:pPr>
        <w:rPr>
          <w:i/>
          <w:sz w:val="20"/>
          <w:szCs w:val="20"/>
        </w:rPr>
      </w:pPr>
    </w:p>
    <w:tbl>
      <w:tblPr>
        <w:tblStyle w:val="a"/>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gridCol w:w="1710"/>
      </w:tblGrid>
      <w:tr w:rsidR="00153AAB" w:rsidTr="00153AAB">
        <w:tc>
          <w:tcPr>
            <w:tcW w:w="2718" w:type="dxa"/>
          </w:tcPr>
          <w:p w:rsidR="00153AAB" w:rsidRDefault="00153AAB">
            <w:pPr>
              <w:spacing w:line="276" w:lineRule="auto"/>
              <w:rPr>
                <w:b/>
                <w:sz w:val="20"/>
                <w:szCs w:val="20"/>
              </w:rPr>
            </w:pPr>
            <w:r>
              <w:rPr>
                <w:b/>
                <w:sz w:val="20"/>
                <w:szCs w:val="20"/>
              </w:rPr>
              <w:t>Column</w:t>
            </w:r>
          </w:p>
        </w:tc>
        <w:tc>
          <w:tcPr>
            <w:tcW w:w="1170" w:type="dxa"/>
          </w:tcPr>
          <w:p w:rsidR="00153AAB" w:rsidRDefault="00153AAB">
            <w:pPr>
              <w:spacing w:line="276" w:lineRule="auto"/>
              <w:rPr>
                <w:b/>
                <w:sz w:val="20"/>
                <w:szCs w:val="20"/>
              </w:rPr>
            </w:pPr>
            <w:r>
              <w:rPr>
                <w:b/>
                <w:sz w:val="20"/>
                <w:szCs w:val="20"/>
              </w:rPr>
              <w:t>Sum</w:t>
            </w:r>
          </w:p>
        </w:tc>
        <w:tc>
          <w:tcPr>
            <w:tcW w:w="1710" w:type="dxa"/>
          </w:tcPr>
          <w:p w:rsidR="00153AAB" w:rsidRDefault="00153AAB">
            <w:pPr>
              <w:rPr>
                <w:b/>
                <w:sz w:val="20"/>
                <w:szCs w:val="20"/>
              </w:rPr>
            </w:pPr>
            <w:r>
              <w:rPr>
                <w:b/>
                <w:sz w:val="20"/>
                <w:szCs w:val="20"/>
              </w:rPr>
              <w:t>Sum from my Alteryx</w:t>
            </w:r>
          </w:p>
        </w:tc>
        <w:tc>
          <w:tcPr>
            <w:tcW w:w="1710" w:type="dxa"/>
          </w:tcPr>
          <w:p w:rsidR="00153AAB" w:rsidRDefault="00153AAB">
            <w:pPr>
              <w:spacing w:line="276" w:lineRule="auto"/>
              <w:rPr>
                <w:b/>
                <w:sz w:val="20"/>
                <w:szCs w:val="20"/>
              </w:rPr>
            </w:pPr>
            <w:r>
              <w:rPr>
                <w:b/>
                <w:sz w:val="20"/>
                <w:szCs w:val="20"/>
              </w:rPr>
              <w:t>Average</w:t>
            </w:r>
            <w:r w:rsidR="00211DA3">
              <w:rPr>
                <w:b/>
                <w:sz w:val="20"/>
                <w:szCs w:val="20"/>
              </w:rPr>
              <w:t xml:space="preserve"> from my Alteryx </w:t>
            </w:r>
          </w:p>
        </w:tc>
      </w:tr>
      <w:tr w:rsidR="00153AAB" w:rsidTr="00153AAB">
        <w:tc>
          <w:tcPr>
            <w:tcW w:w="2718" w:type="dxa"/>
          </w:tcPr>
          <w:p w:rsidR="00153AAB" w:rsidRDefault="00153AAB">
            <w:pPr>
              <w:spacing w:line="276" w:lineRule="auto"/>
              <w:rPr>
                <w:i/>
                <w:sz w:val="20"/>
                <w:szCs w:val="20"/>
              </w:rPr>
            </w:pPr>
            <w:r>
              <w:rPr>
                <w:i/>
                <w:sz w:val="20"/>
                <w:szCs w:val="20"/>
              </w:rPr>
              <w:t>Census Population</w:t>
            </w:r>
          </w:p>
        </w:tc>
        <w:tc>
          <w:tcPr>
            <w:tcW w:w="1170" w:type="dxa"/>
          </w:tcPr>
          <w:p w:rsidR="00153AAB" w:rsidRDefault="00153AAB">
            <w:pPr>
              <w:spacing w:line="276" w:lineRule="auto"/>
              <w:rPr>
                <w:i/>
                <w:sz w:val="20"/>
                <w:szCs w:val="20"/>
              </w:rPr>
            </w:pPr>
            <w:r>
              <w:rPr>
                <w:i/>
                <w:sz w:val="20"/>
                <w:szCs w:val="20"/>
              </w:rPr>
              <w:t>213,862</w:t>
            </w:r>
          </w:p>
        </w:tc>
        <w:tc>
          <w:tcPr>
            <w:tcW w:w="1710" w:type="dxa"/>
          </w:tcPr>
          <w:p w:rsidR="00153AAB" w:rsidRPr="00C5717E" w:rsidRDefault="00C5717E">
            <w:pPr>
              <w:rPr>
                <w:rFonts w:ascii="Calibri" w:hAnsi="Calibri" w:cs="Calibri"/>
              </w:rPr>
            </w:pPr>
            <w:r>
              <w:rPr>
                <w:rFonts w:ascii="Calibri" w:hAnsi="Calibri" w:cs="Calibri"/>
              </w:rPr>
              <w:t xml:space="preserve">           213,862 </w:t>
            </w:r>
          </w:p>
        </w:tc>
        <w:tc>
          <w:tcPr>
            <w:tcW w:w="1710" w:type="dxa"/>
          </w:tcPr>
          <w:p w:rsidR="00153AAB" w:rsidRPr="00211DA3" w:rsidRDefault="00211DA3" w:rsidP="00211DA3">
            <w:pPr>
              <w:rPr>
                <w:rFonts w:ascii="Calibri" w:hAnsi="Calibri" w:cs="Calibri"/>
              </w:rPr>
            </w:pPr>
            <w:r>
              <w:rPr>
                <w:rFonts w:ascii="Calibri" w:hAnsi="Calibri" w:cs="Calibri"/>
              </w:rPr>
              <w:t xml:space="preserve">             19,442</w:t>
            </w:r>
          </w:p>
        </w:tc>
      </w:tr>
      <w:tr w:rsidR="00153AAB" w:rsidTr="00153AAB">
        <w:tc>
          <w:tcPr>
            <w:tcW w:w="2718" w:type="dxa"/>
          </w:tcPr>
          <w:p w:rsidR="00153AAB" w:rsidRDefault="00153AAB">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rsidR="00153AAB" w:rsidRDefault="00153AAB">
            <w:pPr>
              <w:spacing w:line="276" w:lineRule="auto"/>
              <w:rPr>
                <w:i/>
                <w:sz w:val="20"/>
                <w:szCs w:val="20"/>
              </w:rPr>
            </w:pPr>
            <w:r>
              <w:rPr>
                <w:i/>
                <w:sz w:val="20"/>
                <w:szCs w:val="20"/>
              </w:rPr>
              <w:t>3,773,304</w:t>
            </w:r>
          </w:p>
        </w:tc>
        <w:tc>
          <w:tcPr>
            <w:tcW w:w="1710" w:type="dxa"/>
          </w:tcPr>
          <w:p w:rsidR="00153AAB" w:rsidRPr="00C5717E" w:rsidRDefault="00C5717E">
            <w:pPr>
              <w:rPr>
                <w:rFonts w:ascii="Calibri" w:hAnsi="Calibri" w:cs="Calibri"/>
              </w:rPr>
            </w:pPr>
            <w:r>
              <w:rPr>
                <w:rFonts w:ascii="Calibri" w:hAnsi="Calibri" w:cs="Calibri"/>
              </w:rPr>
              <w:t xml:space="preserve">       3,773,304</w:t>
            </w:r>
          </w:p>
        </w:tc>
        <w:tc>
          <w:tcPr>
            <w:tcW w:w="1710" w:type="dxa"/>
          </w:tcPr>
          <w:p w:rsidR="00153AAB" w:rsidRPr="00211DA3" w:rsidRDefault="00211DA3" w:rsidP="00211DA3">
            <w:pPr>
              <w:rPr>
                <w:rFonts w:ascii="Calibri" w:hAnsi="Calibri" w:cs="Calibri"/>
              </w:rPr>
            </w:pPr>
            <w:r>
              <w:rPr>
                <w:rFonts w:ascii="Calibri" w:hAnsi="Calibri" w:cs="Calibri"/>
              </w:rPr>
              <w:t xml:space="preserve">           343,028</w:t>
            </w:r>
          </w:p>
        </w:tc>
      </w:tr>
      <w:tr w:rsidR="00153AAB" w:rsidTr="00153AAB">
        <w:tc>
          <w:tcPr>
            <w:tcW w:w="2718" w:type="dxa"/>
          </w:tcPr>
          <w:p w:rsidR="00153AAB" w:rsidRDefault="00153AAB">
            <w:pPr>
              <w:spacing w:line="276" w:lineRule="auto"/>
              <w:rPr>
                <w:i/>
                <w:sz w:val="20"/>
                <w:szCs w:val="20"/>
              </w:rPr>
            </w:pPr>
            <w:r>
              <w:rPr>
                <w:i/>
                <w:sz w:val="20"/>
                <w:szCs w:val="20"/>
              </w:rPr>
              <w:t>Households with Under 18</w:t>
            </w:r>
          </w:p>
        </w:tc>
        <w:tc>
          <w:tcPr>
            <w:tcW w:w="1170" w:type="dxa"/>
          </w:tcPr>
          <w:p w:rsidR="00153AAB" w:rsidRDefault="00153AAB">
            <w:pPr>
              <w:spacing w:line="276" w:lineRule="auto"/>
              <w:rPr>
                <w:i/>
                <w:sz w:val="20"/>
                <w:szCs w:val="20"/>
              </w:rPr>
            </w:pPr>
            <w:r>
              <w:rPr>
                <w:i/>
                <w:sz w:val="20"/>
                <w:szCs w:val="20"/>
              </w:rPr>
              <w:t>34,064</w:t>
            </w:r>
          </w:p>
        </w:tc>
        <w:tc>
          <w:tcPr>
            <w:tcW w:w="1710" w:type="dxa"/>
          </w:tcPr>
          <w:p w:rsidR="00153AAB" w:rsidRPr="00C5717E" w:rsidRDefault="00C5717E">
            <w:pPr>
              <w:rPr>
                <w:rFonts w:ascii="Calibri" w:hAnsi="Calibri" w:cs="Calibri"/>
              </w:rPr>
            </w:pPr>
            <w:r>
              <w:rPr>
                <w:rFonts w:ascii="Calibri" w:hAnsi="Calibri" w:cs="Calibri"/>
              </w:rPr>
              <w:t xml:space="preserve">             34,064 </w:t>
            </w:r>
          </w:p>
        </w:tc>
        <w:tc>
          <w:tcPr>
            <w:tcW w:w="1710" w:type="dxa"/>
          </w:tcPr>
          <w:p w:rsidR="00153AAB" w:rsidRPr="00211DA3" w:rsidRDefault="00211DA3" w:rsidP="00211DA3">
            <w:pPr>
              <w:rPr>
                <w:rFonts w:ascii="Calibri" w:hAnsi="Calibri" w:cs="Calibri"/>
              </w:rPr>
            </w:pPr>
            <w:r>
              <w:rPr>
                <w:rFonts w:ascii="Calibri" w:hAnsi="Calibri" w:cs="Calibri"/>
              </w:rPr>
              <w:t xml:space="preserve">               3,097</w:t>
            </w:r>
          </w:p>
        </w:tc>
      </w:tr>
      <w:tr w:rsidR="00153AAB" w:rsidTr="00153AAB">
        <w:tc>
          <w:tcPr>
            <w:tcW w:w="2718" w:type="dxa"/>
          </w:tcPr>
          <w:p w:rsidR="00153AAB" w:rsidRDefault="00153AAB">
            <w:pPr>
              <w:spacing w:line="276" w:lineRule="auto"/>
              <w:rPr>
                <w:i/>
                <w:sz w:val="20"/>
                <w:szCs w:val="20"/>
              </w:rPr>
            </w:pPr>
            <w:r>
              <w:rPr>
                <w:i/>
                <w:sz w:val="20"/>
                <w:szCs w:val="20"/>
              </w:rPr>
              <w:t>Land Area</w:t>
            </w:r>
          </w:p>
        </w:tc>
        <w:tc>
          <w:tcPr>
            <w:tcW w:w="1170" w:type="dxa"/>
          </w:tcPr>
          <w:p w:rsidR="00153AAB" w:rsidRDefault="00153AAB">
            <w:pPr>
              <w:spacing w:line="276" w:lineRule="auto"/>
              <w:rPr>
                <w:i/>
                <w:sz w:val="20"/>
                <w:szCs w:val="20"/>
              </w:rPr>
            </w:pPr>
            <w:r>
              <w:rPr>
                <w:i/>
                <w:sz w:val="20"/>
                <w:szCs w:val="20"/>
              </w:rPr>
              <w:t>33,071</w:t>
            </w:r>
          </w:p>
        </w:tc>
        <w:tc>
          <w:tcPr>
            <w:tcW w:w="1710" w:type="dxa"/>
          </w:tcPr>
          <w:p w:rsidR="00153AAB" w:rsidRPr="00C5717E" w:rsidRDefault="00C5717E">
            <w:pPr>
              <w:rPr>
                <w:rFonts w:ascii="Calibri" w:hAnsi="Calibri" w:cs="Calibri"/>
              </w:rPr>
            </w:pPr>
            <w:r>
              <w:rPr>
                <w:rFonts w:ascii="Calibri" w:hAnsi="Calibri" w:cs="Calibri"/>
              </w:rPr>
              <w:t xml:space="preserve">             33,071 </w:t>
            </w:r>
          </w:p>
        </w:tc>
        <w:tc>
          <w:tcPr>
            <w:tcW w:w="1710" w:type="dxa"/>
          </w:tcPr>
          <w:p w:rsidR="00153AAB" w:rsidRPr="00211DA3" w:rsidRDefault="00211DA3" w:rsidP="00211DA3">
            <w:pPr>
              <w:rPr>
                <w:rFonts w:ascii="Calibri" w:hAnsi="Calibri" w:cs="Calibri"/>
              </w:rPr>
            </w:pPr>
            <w:r>
              <w:rPr>
                <w:rFonts w:ascii="Calibri" w:hAnsi="Calibri" w:cs="Calibri"/>
              </w:rPr>
              <w:t xml:space="preserve">               3,006</w:t>
            </w:r>
          </w:p>
        </w:tc>
      </w:tr>
      <w:tr w:rsidR="00153AAB" w:rsidTr="00153AAB">
        <w:tc>
          <w:tcPr>
            <w:tcW w:w="2718" w:type="dxa"/>
          </w:tcPr>
          <w:p w:rsidR="00153AAB" w:rsidRDefault="00153AAB">
            <w:pPr>
              <w:spacing w:line="276" w:lineRule="auto"/>
              <w:rPr>
                <w:i/>
                <w:sz w:val="20"/>
                <w:szCs w:val="20"/>
              </w:rPr>
            </w:pPr>
            <w:r>
              <w:rPr>
                <w:i/>
                <w:sz w:val="20"/>
                <w:szCs w:val="20"/>
              </w:rPr>
              <w:t>Population Density</w:t>
            </w:r>
          </w:p>
        </w:tc>
        <w:tc>
          <w:tcPr>
            <w:tcW w:w="1170" w:type="dxa"/>
          </w:tcPr>
          <w:p w:rsidR="00153AAB" w:rsidRDefault="00153AAB">
            <w:pPr>
              <w:spacing w:line="276" w:lineRule="auto"/>
              <w:rPr>
                <w:i/>
                <w:sz w:val="20"/>
                <w:szCs w:val="20"/>
              </w:rPr>
            </w:pPr>
            <w:r>
              <w:rPr>
                <w:i/>
                <w:sz w:val="20"/>
                <w:szCs w:val="20"/>
              </w:rPr>
              <w:t>63</w:t>
            </w:r>
          </w:p>
        </w:tc>
        <w:tc>
          <w:tcPr>
            <w:tcW w:w="1710" w:type="dxa"/>
          </w:tcPr>
          <w:p w:rsidR="00153AAB" w:rsidRPr="00C5717E" w:rsidRDefault="00C5717E">
            <w:pPr>
              <w:rPr>
                <w:rFonts w:ascii="Calibri" w:hAnsi="Calibri" w:cs="Calibri"/>
              </w:rPr>
            </w:pPr>
            <w:r>
              <w:rPr>
                <w:rFonts w:ascii="Calibri" w:hAnsi="Calibri" w:cs="Calibri"/>
              </w:rPr>
              <w:t xml:space="preserve">                     63 </w:t>
            </w:r>
          </w:p>
        </w:tc>
        <w:tc>
          <w:tcPr>
            <w:tcW w:w="1710" w:type="dxa"/>
          </w:tcPr>
          <w:p w:rsidR="00153AAB" w:rsidRPr="00211DA3" w:rsidRDefault="00211DA3" w:rsidP="00211DA3">
            <w:pPr>
              <w:rPr>
                <w:rFonts w:ascii="Calibri" w:hAnsi="Calibri" w:cs="Calibri"/>
              </w:rPr>
            </w:pPr>
            <w:r>
              <w:rPr>
                <w:rFonts w:ascii="Calibri" w:hAnsi="Calibri" w:cs="Calibri"/>
              </w:rPr>
              <w:t xml:space="preserve">                       6</w:t>
            </w:r>
          </w:p>
        </w:tc>
      </w:tr>
      <w:tr w:rsidR="00153AAB" w:rsidTr="00153AAB">
        <w:tc>
          <w:tcPr>
            <w:tcW w:w="2718" w:type="dxa"/>
          </w:tcPr>
          <w:p w:rsidR="00153AAB" w:rsidRDefault="00153AAB">
            <w:pPr>
              <w:spacing w:line="276" w:lineRule="auto"/>
              <w:rPr>
                <w:i/>
                <w:sz w:val="20"/>
                <w:szCs w:val="20"/>
              </w:rPr>
            </w:pPr>
            <w:r>
              <w:rPr>
                <w:i/>
                <w:sz w:val="20"/>
                <w:szCs w:val="20"/>
              </w:rPr>
              <w:t>Total Families</w:t>
            </w:r>
          </w:p>
        </w:tc>
        <w:tc>
          <w:tcPr>
            <w:tcW w:w="1170" w:type="dxa"/>
          </w:tcPr>
          <w:p w:rsidR="00153AAB" w:rsidRDefault="00153AAB">
            <w:pPr>
              <w:spacing w:line="276" w:lineRule="auto"/>
              <w:rPr>
                <w:i/>
                <w:sz w:val="20"/>
                <w:szCs w:val="20"/>
              </w:rPr>
            </w:pPr>
            <w:r>
              <w:rPr>
                <w:i/>
                <w:sz w:val="20"/>
                <w:szCs w:val="20"/>
              </w:rPr>
              <w:t>62,653</w:t>
            </w:r>
          </w:p>
        </w:tc>
        <w:tc>
          <w:tcPr>
            <w:tcW w:w="1710" w:type="dxa"/>
          </w:tcPr>
          <w:p w:rsidR="00153AAB" w:rsidRPr="00C5717E" w:rsidRDefault="00C5717E">
            <w:pPr>
              <w:rPr>
                <w:rFonts w:ascii="Calibri" w:hAnsi="Calibri" w:cs="Calibri"/>
              </w:rPr>
            </w:pPr>
            <w:r>
              <w:rPr>
                <w:rFonts w:ascii="Calibri" w:hAnsi="Calibri" w:cs="Calibri"/>
              </w:rPr>
              <w:t xml:space="preserve">             62,653</w:t>
            </w:r>
          </w:p>
        </w:tc>
        <w:tc>
          <w:tcPr>
            <w:tcW w:w="1710" w:type="dxa"/>
          </w:tcPr>
          <w:p w:rsidR="00153AAB" w:rsidRPr="00211DA3" w:rsidRDefault="00211DA3" w:rsidP="00211DA3">
            <w:pPr>
              <w:rPr>
                <w:rFonts w:ascii="Calibri" w:hAnsi="Calibri" w:cs="Calibri"/>
              </w:rPr>
            </w:pPr>
            <w:r>
              <w:rPr>
                <w:rFonts w:ascii="Calibri" w:hAnsi="Calibri" w:cs="Calibri"/>
              </w:rPr>
              <w:t xml:space="preserve">               5,696</w:t>
            </w:r>
          </w:p>
        </w:tc>
      </w:tr>
    </w:tbl>
    <w:p w:rsidR="00FF6EBF" w:rsidRDefault="00FF6EBF">
      <w:pPr>
        <w:rPr>
          <w:i/>
          <w:sz w:val="20"/>
          <w:szCs w:val="20"/>
        </w:rPr>
      </w:pPr>
    </w:p>
    <w:p w:rsidR="00FF6EBF" w:rsidRDefault="001677C5">
      <w:pPr>
        <w:pStyle w:val="Heading2"/>
        <w:keepNext w:val="0"/>
        <w:keepLines w:val="0"/>
        <w:spacing w:before="240" w:after="40"/>
      </w:pPr>
      <w:r>
        <w:t>Step 3: Dealing with Outliers</w:t>
      </w:r>
    </w:p>
    <w:p w:rsidR="00FF6EBF" w:rsidRDefault="001677C5">
      <w:pPr>
        <w:rPr>
          <w:i/>
          <w:sz w:val="20"/>
          <w:szCs w:val="20"/>
        </w:rPr>
      </w:pPr>
      <w:r>
        <w:rPr>
          <w:i/>
          <w:sz w:val="20"/>
          <w:szCs w:val="20"/>
        </w:rPr>
        <w:t>Answer these questions</w:t>
      </w:r>
    </w:p>
    <w:p w:rsidR="00FF6EBF" w:rsidRDefault="00FF6EBF">
      <w:pPr>
        <w:rPr>
          <w:i/>
          <w:sz w:val="20"/>
          <w:szCs w:val="20"/>
        </w:rPr>
      </w:pPr>
    </w:p>
    <w:p w:rsidR="00FF6EBF" w:rsidRDefault="001677C5">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rsidR="000C588B" w:rsidRDefault="000C588B">
      <w:r>
        <w:br w:type="page"/>
      </w:r>
    </w:p>
    <w:p w:rsidR="009D7FE6" w:rsidRDefault="009D7FE6">
      <w:r>
        <w:lastRenderedPageBreak/>
        <w:t>Scatterplots:</w:t>
      </w:r>
    </w:p>
    <w:p w:rsidR="00372D95" w:rsidRDefault="00372D95"/>
    <w:tbl>
      <w:tblPr>
        <w:tblStyle w:val="TableGrid"/>
        <w:tblW w:w="0" w:type="auto"/>
        <w:tblLook w:val="04A0" w:firstRow="1" w:lastRow="0" w:firstColumn="1" w:lastColumn="0" w:noHBand="0" w:noVBand="1"/>
      </w:tblPr>
      <w:tblGrid>
        <w:gridCol w:w="4788"/>
        <w:gridCol w:w="4788"/>
      </w:tblGrid>
      <w:tr w:rsidR="00655A0C" w:rsidTr="00372D95">
        <w:tc>
          <w:tcPr>
            <w:tcW w:w="4788" w:type="dxa"/>
          </w:tcPr>
          <w:p w:rsidR="00372D95" w:rsidRDefault="00372D95" w:rsidP="00372D9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noProof/>
              </w:rPr>
            </w:pPr>
            <w:r>
              <w:rPr>
                <w:noProof/>
              </w:rPr>
              <w:t>Census v/s Total Sales</w:t>
            </w:r>
          </w:p>
          <w:p w:rsidR="00372D95" w:rsidRDefault="00372D95">
            <w:pPr>
              <w:pBdr>
                <w:top w:val="none" w:sz="0" w:space="0" w:color="auto"/>
                <w:left w:val="none" w:sz="0" w:space="0" w:color="auto"/>
                <w:bottom w:val="none" w:sz="0" w:space="0" w:color="auto"/>
                <w:right w:val="none" w:sz="0" w:space="0" w:color="auto"/>
                <w:between w:val="none" w:sz="0" w:space="0" w:color="auto"/>
              </w:pBdr>
              <w:rPr>
                <w:noProof/>
              </w:rPr>
            </w:pPr>
          </w:p>
          <w:p w:rsidR="00372D95" w:rsidRDefault="00372D95">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208AF51F" wp14:editId="0DEA7311">
                  <wp:extent cx="2579774"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443" cy="2569194"/>
                          </a:xfrm>
                          <a:prstGeom prst="rect">
                            <a:avLst/>
                          </a:prstGeom>
                        </pic:spPr>
                      </pic:pic>
                    </a:graphicData>
                  </a:graphic>
                </wp:inline>
              </w:drawing>
            </w:r>
          </w:p>
          <w:p w:rsidR="00372D95" w:rsidRDefault="00372D95">
            <w:pPr>
              <w:pBdr>
                <w:top w:val="none" w:sz="0" w:space="0" w:color="auto"/>
                <w:left w:val="none" w:sz="0" w:space="0" w:color="auto"/>
                <w:bottom w:val="none" w:sz="0" w:space="0" w:color="auto"/>
                <w:right w:val="none" w:sz="0" w:space="0" w:color="auto"/>
                <w:between w:val="none" w:sz="0" w:space="0" w:color="auto"/>
              </w:pBdr>
            </w:pPr>
          </w:p>
        </w:tc>
        <w:tc>
          <w:tcPr>
            <w:tcW w:w="4788" w:type="dxa"/>
          </w:tcPr>
          <w:p w:rsidR="00372D95" w:rsidRDefault="00372D95" w:rsidP="00372D9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noProof/>
              </w:rPr>
            </w:pPr>
            <w:r>
              <w:rPr>
                <w:noProof/>
              </w:rPr>
              <w:t>Land_Area v/s Sales</w:t>
            </w:r>
            <w:r w:rsidR="001F7648">
              <w:rPr>
                <w:rStyle w:val="FootnoteReference"/>
                <w:noProof/>
              </w:rPr>
              <w:footnoteReference w:id="1"/>
            </w:r>
          </w:p>
          <w:p w:rsidR="00372D95" w:rsidRDefault="00372D95">
            <w:pPr>
              <w:pBdr>
                <w:top w:val="none" w:sz="0" w:space="0" w:color="auto"/>
                <w:left w:val="none" w:sz="0" w:space="0" w:color="auto"/>
                <w:bottom w:val="none" w:sz="0" w:space="0" w:color="auto"/>
                <w:right w:val="none" w:sz="0" w:space="0" w:color="auto"/>
                <w:between w:val="none" w:sz="0" w:space="0" w:color="auto"/>
              </w:pBdr>
            </w:pPr>
          </w:p>
          <w:p w:rsidR="00372D95" w:rsidRDefault="00372D95">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3B012942" wp14:editId="36989375">
                  <wp:extent cx="2514600" cy="251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775" cy="2527865"/>
                          </a:xfrm>
                          <a:prstGeom prst="rect">
                            <a:avLst/>
                          </a:prstGeom>
                        </pic:spPr>
                      </pic:pic>
                    </a:graphicData>
                  </a:graphic>
                </wp:inline>
              </w:drawing>
            </w:r>
          </w:p>
          <w:p w:rsidR="00372D95" w:rsidRDefault="00372D95">
            <w:pPr>
              <w:pBdr>
                <w:top w:val="none" w:sz="0" w:space="0" w:color="auto"/>
                <w:left w:val="none" w:sz="0" w:space="0" w:color="auto"/>
                <w:bottom w:val="none" w:sz="0" w:space="0" w:color="auto"/>
                <w:right w:val="none" w:sz="0" w:space="0" w:color="auto"/>
                <w:between w:val="none" w:sz="0" w:space="0" w:color="auto"/>
              </w:pBdr>
            </w:pPr>
          </w:p>
        </w:tc>
      </w:tr>
      <w:tr w:rsidR="00655A0C" w:rsidTr="00372D95">
        <w:tc>
          <w:tcPr>
            <w:tcW w:w="4788" w:type="dxa"/>
          </w:tcPr>
          <w:p w:rsidR="00E56828" w:rsidRDefault="00E56828" w:rsidP="00E5682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noProof/>
              </w:rPr>
            </w:pPr>
            <w:r>
              <w:rPr>
                <w:noProof/>
              </w:rPr>
              <w:t>Household v/s Total Sales</w:t>
            </w:r>
          </w:p>
          <w:p w:rsidR="00372D95" w:rsidRDefault="003C6C9E">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1660DE51" wp14:editId="5A410359">
                  <wp:extent cx="2589307" cy="24536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473" cy="2464221"/>
                          </a:xfrm>
                          <a:prstGeom prst="rect">
                            <a:avLst/>
                          </a:prstGeom>
                        </pic:spPr>
                      </pic:pic>
                    </a:graphicData>
                  </a:graphic>
                </wp:inline>
              </w:drawing>
            </w:r>
          </w:p>
        </w:tc>
        <w:tc>
          <w:tcPr>
            <w:tcW w:w="4788" w:type="dxa"/>
          </w:tcPr>
          <w:p w:rsidR="00331C86" w:rsidRDefault="00331C86" w:rsidP="00331C86">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noProof/>
              </w:rPr>
            </w:pPr>
            <w:r>
              <w:rPr>
                <w:noProof/>
              </w:rPr>
              <w:t>Population Density v/s Total Sales</w:t>
            </w:r>
            <w:r w:rsidR="002A7276">
              <w:rPr>
                <w:rStyle w:val="FootnoteReference"/>
                <w:noProof/>
              </w:rPr>
              <w:footnoteReference w:id="2"/>
            </w:r>
          </w:p>
          <w:p w:rsidR="00372D95" w:rsidRDefault="00331C86">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1DCE346F" wp14:editId="4E3ACEB8">
                  <wp:extent cx="2514600" cy="2408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291" cy="2426465"/>
                          </a:xfrm>
                          <a:prstGeom prst="rect">
                            <a:avLst/>
                          </a:prstGeom>
                        </pic:spPr>
                      </pic:pic>
                    </a:graphicData>
                  </a:graphic>
                </wp:inline>
              </w:drawing>
            </w:r>
          </w:p>
        </w:tc>
      </w:tr>
    </w:tbl>
    <w:p w:rsidR="00655A0C" w:rsidRDefault="00655A0C">
      <w:r>
        <w:br w:type="page"/>
      </w:r>
    </w:p>
    <w:tbl>
      <w:tblPr>
        <w:tblStyle w:val="TableGrid"/>
        <w:tblW w:w="0" w:type="auto"/>
        <w:tblLook w:val="04A0" w:firstRow="1" w:lastRow="0" w:firstColumn="1" w:lastColumn="0" w:noHBand="0" w:noVBand="1"/>
      </w:tblPr>
      <w:tblGrid>
        <w:gridCol w:w="9576"/>
      </w:tblGrid>
      <w:tr w:rsidR="00655A0C" w:rsidTr="002F353B">
        <w:tc>
          <w:tcPr>
            <w:tcW w:w="9576" w:type="dxa"/>
          </w:tcPr>
          <w:p w:rsidR="00655A0C" w:rsidRDefault="00655A0C">
            <w:pPr>
              <w:pBdr>
                <w:top w:val="none" w:sz="0" w:space="0" w:color="auto"/>
                <w:left w:val="none" w:sz="0" w:space="0" w:color="auto"/>
                <w:bottom w:val="none" w:sz="0" w:space="0" w:color="auto"/>
                <w:right w:val="none" w:sz="0" w:space="0" w:color="auto"/>
                <w:between w:val="none" w:sz="0" w:space="0" w:color="auto"/>
              </w:pBdr>
            </w:pPr>
          </w:p>
          <w:p w:rsidR="00655A0C" w:rsidRDefault="00655A0C" w:rsidP="00655A0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center"/>
              <w:rPr>
                <w:noProof/>
              </w:rPr>
            </w:pPr>
            <w:r>
              <w:rPr>
                <w:noProof/>
              </w:rPr>
              <w:t>Total Families v/s Total Sales</w:t>
            </w:r>
          </w:p>
          <w:p w:rsidR="00655A0C" w:rsidRDefault="00655A0C" w:rsidP="00655A0C">
            <w:pPr>
              <w:pStyle w:val="ListParagraph"/>
              <w:pBdr>
                <w:top w:val="none" w:sz="0" w:space="0" w:color="auto"/>
                <w:left w:val="none" w:sz="0" w:space="0" w:color="auto"/>
                <w:bottom w:val="none" w:sz="0" w:space="0" w:color="auto"/>
                <w:right w:val="none" w:sz="0" w:space="0" w:color="auto"/>
                <w:between w:val="none" w:sz="0" w:space="0" w:color="auto"/>
              </w:pBdr>
              <w:rPr>
                <w:noProof/>
              </w:rPr>
            </w:pPr>
          </w:p>
          <w:p w:rsidR="00655A0C" w:rsidRDefault="00655A0C">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19E93B64" wp14:editId="239837FB">
                  <wp:extent cx="2842260" cy="285118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310" cy="2881327"/>
                          </a:xfrm>
                          <a:prstGeom prst="rect">
                            <a:avLst/>
                          </a:prstGeom>
                        </pic:spPr>
                      </pic:pic>
                    </a:graphicData>
                  </a:graphic>
                </wp:inline>
              </w:drawing>
            </w:r>
          </w:p>
          <w:p w:rsidR="00655A0C" w:rsidRDefault="00655A0C">
            <w:pPr>
              <w:pBdr>
                <w:top w:val="none" w:sz="0" w:space="0" w:color="auto"/>
                <w:left w:val="none" w:sz="0" w:space="0" w:color="auto"/>
                <w:bottom w:val="none" w:sz="0" w:space="0" w:color="auto"/>
                <w:right w:val="none" w:sz="0" w:space="0" w:color="auto"/>
                <w:between w:val="none" w:sz="0" w:space="0" w:color="auto"/>
              </w:pBdr>
            </w:pPr>
          </w:p>
          <w:p w:rsidR="00655A0C" w:rsidRDefault="00655A0C">
            <w:pPr>
              <w:pBdr>
                <w:top w:val="none" w:sz="0" w:space="0" w:color="auto"/>
                <w:left w:val="none" w:sz="0" w:space="0" w:color="auto"/>
                <w:bottom w:val="none" w:sz="0" w:space="0" w:color="auto"/>
                <w:right w:val="none" w:sz="0" w:space="0" w:color="auto"/>
                <w:between w:val="none" w:sz="0" w:space="0" w:color="auto"/>
              </w:pBdr>
            </w:pPr>
          </w:p>
        </w:tc>
      </w:tr>
    </w:tbl>
    <w:p w:rsidR="00372D95" w:rsidRDefault="00372D95"/>
    <w:p w:rsidR="001A3CA3" w:rsidRPr="001677C5" w:rsidRDefault="001A3CA3">
      <w:pPr>
        <w:rPr>
          <w:sz w:val="20"/>
          <w:szCs w:val="20"/>
        </w:rPr>
      </w:pPr>
    </w:p>
    <w:p w:rsidR="00205A6B" w:rsidRPr="001677C5" w:rsidRDefault="00205A6B">
      <w:pPr>
        <w:rPr>
          <w:sz w:val="20"/>
          <w:szCs w:val="20"/>
        </w:rPr>
      </w:pPr>
      <w:r w:rsidRPr="001677C5">
        <w:rPr>
          <w:sz w:val="20"/>
          <w:szCs w:val="20"/>
        </w:rPr>
        <w:t xml:space="preserve">The Table below shows comparison of </w:t>
      </w:r>
      <w:r w:rsidR="00A665B6" w:rsidRPr="001677C5">
        <w:rPr>
          <w:sz w:val="20"/>
          <w:szCs w:val="20"/>
        </w:rPr>
        <w:t>values with Upper fence for each variable.</w:t>
      </w:r>
      <w:r w:rsidR="00426761" w:rsidRPr="001677C5">
        <w:rPr>
          <w:sz w:val="20"/>
          <w:szCs w:val="20"/>
        </w:rPr>
        <w:t xml:space="preserve"> Data blending and IQR related calculations were performed in Alteryx. </w:t>
      </w:r>
      <w:r w:rsidR="00360FFF" w:rsidRPr="001677C5">
        <w:rPr>
          <w:sz w:val="20"/>
          <w:szCs w:val="20"/>
        </w:rPr>
        <w:t xml:space="preserve">The values exceeding Upper fence </w:t>
      </w:r>
      <w:r w:rsidR="00426761" w:rsidRPr="001677C5">
        <w:rPr>
          <w:sz w:val="20"/>
          <w:szCs w:val="20"/>
        </w:rPr>
        <w:t>are highlighted in red</w:t>
      </w:r>
      <w:r w:rsidR="001677C5" w:rsidRPr="001677C5">
        <w:rPr>
          <w:sz w:val="20"/>
          <w:szCs w:val="20"/>
        </w:rPr>
        <w:t xml:space="preserve"> indicating potential outliers in the given category. E.g. city of Cheyenne has potential outliers in Total </w:t>
      </w:r>
      <w:proofErr w:type="spellStart"/>
      <w:r w:rsidR="001677C5" w:rsidRPr="001677C5">
        <w:rPr>
          <w:sz w:val="20"/>
          <w:szCs w:val="20"/>
        </w:rPr>
        <w:t>Pawdacity</w:t>
      </w:r>
      <w:proofErr w:type="spellEnd"/>
      <w:r w:rsidR="001677C5" w:rsidRPr="001677C5">
        <w:rPr>
          <w:sz w:val="20"/>
          <w:szCs w:val="20"/>
        </w:rPr>
        <w:t xml:space="preserve"> Sales, 2010 Census, Population Density and Total families. </w:t>
      </w:r>
    </w:p>
    <w:p w:rsidR="00372D95" w:rsidRDefault="00372D95"/>
    <w:p w:rsidR="00372D95" w:rsidRDefault="00372D95" w:rsidP="00372D95"/>
    <w:tbl>
      <w:tblPr>
        <w:tblW w:w="7327" w:type="dxa"/>
        <w:tblInd w:w="113" w:type="dxa"/>
        <w:tblLook w:val="04A0" w:firstRow="1" w:lastRow="0" w:firstColumn="1" w:lastColumn="0" w:noHBand="0" w:noVBand="1"/>
      </w:tblPr>
      <w:tblGrid>
        <w:gridCol w:w="1020"/>
        <w:gridCol w:w="1068"/>
        <w:gridCol w:w="1126"/>
        <w:gridCol w:w="940"/>
        <w:gridCol w:w="1305"/>
        <w:gridCol w:w="1035"/>
        <w:gridCol w:w="994"/>
      </w:tblGrid>
      <w:tr w:rsidR="00457782" w:rsidRPr="00457782" w:rsidTr="00457782">
        <w:trPr>
          <w:trHeight w:val="288"/>
        </w:trPr>
        <w:tc>
          <w:tcPr>
            <w:tcW w:w="10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Upper Fence</w:t>
            </w:r>
          </w:p>
        </w:tc>
        <w:tc>
          <w:tcPr>
            <w:tcW w:w="1054" w:type="dxa"/>
            <w:tcBorders>
              <w:top w:val="single" w:sz="4" w:space="0" w:color="auto"/>
              <w:left w:val="nil"/>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443,232.00 </w:t>
            </w:r>
          </w:p>
        </w:tc>
        <w:tc>
          <w:tcPr>
            <w:tcW w:w="1126" w:type="dxa"/>
            <w:tcBorders>
              <w:top w:val="single" w:sz="4" w:space="0" w:color="auto"/>
              <w:left w:val="nil"/>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53,278.25 </w:t>
            </w:r>
          </w:p>
        </w:tc>
        <w:tc>
          <w:tcPr>
            <w:tcW w:w="940" w:type="dxa"/>
            <w:tcBorders>
              <w:top w:val="single" w:sz="4" w:space="0" w:color="auto"/>
              <w:left w:val="nil"/>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5,969.69 </w:t>
            </w:r>
          </w:p>
        </w:tc>
        <w:tc>
          <w:tcPr>
            <w:tcW w:w="1305" w:type="dxa"/>
            <w:tcBorders>
              <w:top w:val="single" w:sz="4" w:space="0" w:color="auto"/>
              <w:left w:val="nil"/>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8,102.00 </w:t>
            </w:r>
          </w:p>
        </w:tc>
        <w:tc>
          <w:tcPr>
            <w:tcW w:w="888" w:type="dxa"/>
            <w:tcBorders>
              <w:top w:val="single" w:sz="4" w:space="0" w:color="auto"/>
              <w:left w:val="nil"/>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15.90 </w:t>
            </w:r>
          </w:p>
        </w:tc>
        <w:tc>
          <w:tcPr>
            <w:tcW w:w="994" w:type="dxa"/>
            <w:tcBorders>
              <w:top w:val="single" w:sz="4" w:space="0" w:color="auto"/>
              <w:left w:val="nil"/>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14,066.90 </w:t>
            </w:r>
          </w:p>
        </w:tc>
      </w:tr>
      <w:tr w:rsidR="00457782" w:rsidRPr="00457782" w:rsidTr="00457782">
        <w:trPr>
          <w:trHeight w:val="492"/>
        </w:trPr>
        <w:tc>
          <w:tcPr>
            <w:tcW w:w="1020" w:type="dxa"/>
            <w:tcBorders>
              <w:top w:val="nil"/>
              <w:left w:val="single" w:sz="4" w:space="0" w:color="auto"/>
              <w:bottom w:val="single" w:sz="4" w:space="0" w:color="auto"/>
              <w:right w:val="single" w:sz="4" w:space="0" w:color="auto"/>
            </w:tcBorders>
            <w:shd w:val="clear" w:color="000000" w:fill="D9D9D9"/>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CITY</w:t>
            </w:r>
          </w:p>
        </w:tc>
        <w:tc>
          <w:tcPr>
            <w:tcW w:w="1054" w:type="dxa"/>
            <w:tcBorders>
              <w:top w:val="nil"/>
              <w:left w:val="nil"/>
              <w:bottom w:val="single" w:sz="4" w:space="0" w:color="auto"/>
              <w:right w:val="single" w:sz="4" w:space="0" w:color="auto"/>
            </w:tcBorders>
            <w:shd w:val="clear" w:color="000000" w:fill="D9D9D9"/>
            <w:vAlign w:val="bottom"/>
            <w:hideMark/>
          </w:tcPr>
          <w:p w:rsidR="001677C5"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 xml:space="preserve"> </w:t>
            </w:r>
            <w:proofErr w:type="spellStart"/>
            <w:r w:rsidRPr="00457782">
              <w:rPr>
                <w:rFonts w:ascii="Calibri" w:eastAsia="Times New Roman" w:hAnsi="Calibri" w:cs="Calibri"/>
                <w:b/>
                <w:bCs/>
                <w:sz w:val="18"/>
                <w:szCs w:val="18"/>
              </w:rPr>
              <w:t>Total_Sales</w:t>
            </w:r>
            <w:proofErr w:type="spellEnd"/>
          </w:p>
          <w:p w:rsidR="00457782" w:rsidRPr="00457782" w:rsidRDefault="001677C5"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Pr>
                <w:rFonts w:ascii="Calibri" w:eastAsia="Times New Roman" w:hAnsi="Calibri" w:cs="Calibri"/>
                <w:b/>
                <w:bCs/>
                <w:sz w:val="18"/>
                <w:szCs w:val="18"/>
              </w:rPr>
              <w:t>(</w:t>
            </w:r>
            <w:proofErr w:type="spellStart"/>
            <w:r w:rsidRPr="001677C5">
              <w:rPr>
                <w:rFonts w:ascii="Calibri" w:eastAsia="Times New Roman" w:hAnsi="Calibri" w:cs="Calibri"/>
                <w:b/>
                <w:bCs/>
                <w:sz w:val="18"/>
                <w:szCs w:val="18"/>
              </w:rPr>
              <w:t>Pawdacity</w:t>
            </w:r>
            <w:proofErr w:type="spellEnd"/>
            <w:r w:rsidRPr="001677C5">
              <w:rPr>
                <w:rFonts w:ascii="Calibri" w:eastAsia="Times New Roman" w:hAnsi="Calibri" w:cs="Calibri"/>
                <w:b/>
                <w:bCs/>
                <w:sz w:val="18"/>
                <w:szCs w:val="18"/>
              </w:rPr>
              <w:t xml:space="preserve"> </w:t>
            </w:r>
            <w:r>
              <w:rPr>
                <w:rFonts w:ascii="Calibri" w:eastAsia="Times New Roman" w:hAnsi="Calibri" w:cs="Calibri"/>
                <w:b/>
                <w:bCs/>
                <w:sz w:val="18"/>
                <w:szCs w:val="18"/>
              </w:rPr>
              <w:t xml:space="preserve">Sales) </w:t>
            </w:r>
            <w:r w:rsidR="00457782" w:rsidRPr="00457782">
              <w:rPr>
                <w:rFonts w:ascii="Calibri" w:eastAsia="Times New Roman" w:hAnsi="Calibri" w:cs="Calibri"/>
                <w:b/>
                <w:bCs/>
                <w:sz w:val="18"/>
                <w:szCs w:val="18"/>
              </w:rPr>
              <w:t xml:space="preserve"> </w:t>
            </w:r>
          </w:p>
        </w:tc>
        <w:tc>
          <w:tcPr>
            <w:tcW w:w="1126" w:type="dxa"/>
            <w:tcBorders>
              <w:top w:val="nil"/>
              <w:left w:val="nil"/>
              <w:bottom w:val="single" w:sz="4" w:space="0" w:color="auto"/>
              <w:right w:val="single" w:sz="4" w:space="0" w:color="auto"/>
            </w:tcBorders>
            <w:shd w:val="clear" w:color="000000" w:fill="D9D9D9"/>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 xml:space="preserve"> 2010 Census </w:t>
            </w:r>
          </w:p>
        </w:tc>
        <w:tc>
          <w:tcPr>
            <w:tcW w:w="940" w:type="dxa"/>
            <w:tcBorders>
              <w:top w:val="nil"/>
              <w:left w:val="nil"/>
              <w:bottom w:val="single" w:sz="4" w:space="0" w:color="auto"/>
              <w:right w:val="single" w:sz="4" w:space="0" w:color="auto"/>
            </w:tcBorders>
            <w:shd w:val="clear" w:color="000000" w:fill="D9D9D9"/>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 xml:space="preserve"> Land Area </w:t>
            </w:r>
          </w:p>
        </w:tc>
        <w:tc>
          <w:tcPr>
            <w:tcW w:w="1305" w:type="dxa"/>
            <w:tcBorders>
              <w:top w:val="nil"/>
              <w:left w:val="nil"/>
              <w:bottom w:val="single" w:sz="4" w:space="0" w:color="auto"/>
              <w:right w:val="single" w:sz="4" w:space="0" w:color="auto"/>
            </w:tcBorders>
            <w:shd w:val="clear" w:color="000000" w:fill="D9D9D9"/>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 xml:space="preserve"> Households with Under 18 </w:t>
            </w:r>
          </w:p>
        </w:tc>
        <w:tc>
          <w:tcPr>
            <w:tcW w:w="888" w:type="dxa"/>
            <w:tcBorders>
              <w:top w:val="nil"/>
              <w:left w:val="nil"/>
              <w:bottom w:val="single" w:sz="4" w:space="0" w:color="auto"/>
              <w:right w:val="single" w:sz="4" w:space="0" w:color="auto"/>
            </w:tcBorders>
            <w:shd w:val="clear" w:color="000000" w:fill="D9D9D9"/>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 xml:space="preserve"> Population Density </w:t>
            </w:r>
          </w:p>
        </w:tc>
        <w:tc>
          <w:tcPr>
            <w:tcW w:w="994" w:type="dxa"/>
            <w:tcBorders>
              <w:top w:val="nil"/>
              <w:left w:val="nil"/>
              <w:bottom w:val="single" w:sz="4" w:space="0" w:color="auto"/>
              <w:right w:val="single" w:sz="4" w:space="0" w:color="auto"/>
            </w:tcBorders>
            <w:shd w:val="clear" w:color="000000" w:fill="D9D9D9"/>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8"/>
                <w:szCs w:val="18"/>
              </w:rPr>
            </w:pPr>
            <w:r w:rsidRPr="00457782">
              <w:rPr>
                <w:rFonts w:ascii="Calibri" w:eastAsia="Times New Roman" w:hAnsi="Calibri" w:cs="Calibri"/>
                <w:b/>
                <w:bCs/>
                <w:sz w:val="18"/>
                <w:szCs w:val="18"/>
              </w:rPr>
              <w:t xml:space="preserve"> Total Families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Buffalo</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185,328.00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4,585.00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3,115.51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746.00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1.55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1,819.50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Casper</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317,736.00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35,316.00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3,894.31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7,788.00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11.16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8,756.32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Cheyenne</w:t>
            </w:r>
          </w:p>
        </w:tc>
        <w:tc>
          <w:tcPr>
            <w:tcW w:w="105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9C0006"/>
                <w:sz w:val="18"/>
                <w:szCs w:val="18"/>
              </w:rPr>
            </w:pPr>
            <w:r w:rsidRPr="00457782">
              <w:rPr>
                <w:rFonts w:ascii="Calibri" w:eastAsia="Times New Roman" w:hAnsi="Calibri" w:cs="Calibri"/>
                <w:color w:val="9C0006"/>
                <w:sz w:val="18"/>
                <w:szCs w:val="18"/>
              </w:rPr>
              <w:t xml:space="preserve">     917,892.00 </w:t>
            </w:r>
          </w:p>
        </w:tc>
        <w:tc>
          <w:tcPr>
            <w:tcW w:w="112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9C0006"/>
                <w:sz w:val="18"/>
                <w:szCs w:val="18"/>
              </w:rPr>
            </w:pPr>
            <w:r w:rsidRPr="00457782">
              <w:rPr>
                <w:rFonts w:ascii="Calibri" w:eastAsia="Times New Roman" w:hAnsi="Calibri" w:cs="Calibri"/>
                <w:color w:val="9C0006"/>
                <w:sz w:val="18"/>
                <w:szCs w:val="18"/>
              </w:rPr>
              <w:t xml:space="preserve">         59,466.00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1,500.18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7,158.00 </w:t>
            </w:r>
          </w:p>
        </w:tc>
        <w:tc>
          <w:tcPr>
            <w:tcW w:w="88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9C0006"/>
                <w:sz w:val="18"/>
                <w:szCs w:val="18"/>
              </w:rPr>
            </w:pPr>
            <w:r w:rsidRPr="00457782">
              <w:rPr>
                <w:rFonts w:ascii="Calibri" w:eastAsia="Times New Roman" w:hAnsi="Calibri" w:cs="Calibri"/>
                <w:color w:val="9C0006"/>
                <w:sz w:val="18"/>
                <w:szCs w:val="18"/>
              </w:rPr>
              <w:t xml:space="preserve">           20.34 </w:t>
            </w:r>
          </w:p>
        </w:tc>
        <w:tc>
          <w:tcPr>
            <w:tcW w:w="99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9C0006"/>
                <w:sz w:val="18"/>
                <w:szCs w:val="18"/>
              </w:rPr>
            </w:pPr>
            <w:r w:rsidRPr="00457782">
              <w:rPr>
                <w:rFonts w:ascii="Calibri" w:eastAsia="Times New Roman" w:hAnsi="Calibri" w:cs="Calibri"/>
                <w:color w:val="9C0006"/>
                <w:sz w:val="18"/>
                <w:szCs w:val="18"/>
              </w:rPr>
              <w:t xml:space="preserve">     14,612.64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Cody</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218,376.00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9,520.00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2,998.96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1,403.00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1.82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3,515.62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Douglas</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208,008.00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6,120.00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1,829.47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832.00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1.46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1,744.08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Evanston</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283,824.00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12,359.00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999.50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1,486.00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4.95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2,712.64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Gillette</w:t>
            </w:r>
          </w:p>
        </w:tc>
        <w:tc>
          <w:tcPr>
            <w:tcW w:w="105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9C0006"/>
                <w:sz w:val="18"/>
                <w:szCs w:val="18"/>
              </w:rPr>
            </w:pPr>
            <w:r w:rsidRPr="00457782">
              <w:rPr>
                <w:rFonts w:ascii="Calibri" w:eastAsia="Times New Roman" w:hAnsi="Calibri" w:cs="Calibri"/>
                <w:color w:val="9C0006"/>
                <w:sz w:val="18"/>
                <w:szCs w:val="18"/>
              </w:rPr>
              <w:t xml:space="preserve">     543,132.00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29,087.00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2,748.85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4,052.00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5.80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7,189.43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Powell</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233,928.00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6,314.00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2,673.57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1,251.00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1.62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3,134.18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lastRenderedPageBreak/>
              <w:t>Riverton</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303,264.00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10,615.00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4,796.86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2,680.00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2.34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5,556.49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Rock Springs</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253,584.00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23,036.00 </w:t>
            </w:r>
          </w:p>
        </w:tc>
        <w:tc>
          <w:tcPr>
            <w:tcW w:w="9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9C0006"/>
                <w:sz w:val="18"/>
                <w:szCs w:val="18"/>
              </w:rPr>
            </w:pPr>
            <w:r w:rsidRPr="00457782">
              <w:rPr>
                <w:rFonts w:ascii="Calibri" w:eastAsia="Times New Roman" w:hAnsi="Calibri" w:cs="Calibri"/>
                <w:color w:val="9C0006"/>
                <w:sz w:val="18"/>
                <w:szCs w:val="18"/>
              </w:rPr>
              <w:t xml:space="preserve">      6,620.20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4,022.00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2.78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7,572.18 </w:t>
            </w:r>
          </w:p>
        </w:tc>
      </w:tr>
      <w:tr w:rsidR="00457782" w:rsidRPr="00457782" w:rsidTr="00457782">
        <w:trPr>
          <w:trHeight w:val="288"/>
        </w:trPr>
        <w:tc>
          <w:tcPr>
            <w:tcW w:w="1020" w:type="dxa"/>
            <w:tcBorders>
              <w:top w:val="nil"/>
              <w:left w:val="single" w:sz="4" w:space="0" w:color="auto"/>
              <w:bottom w:val="single" w:sz="4" w:space="0" w:color="auto"/>
              <w:right w:val="single" w:sz="4" w:space="0" w:color="auto"/>
            </w:tcBorders>
            <w:shd w:val="clear" w:color="000000" w:fill="B8CCE4"/>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Sheridan</w:t>
            </w:r>
          </w:p>
        </w:tc>
        <w:tc>
          <w:tcPr>
            <w:tcW w:w="105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308,232.00 </w:t>
            </w:r>
          </w:p>
        </w:tc>
        <w:tc>
          <w:tcPr>
            <w:tcW w:w="1126"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17,444.00 </w:t>
            </w:r>
          </w:p>
        </w:tc>
        <w:tc>
          <w:tcPr>
            <w:tcW w:w="940"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1,893.98 </w:t>
            </w:r>
          </w:p>
        </w:tc>
        <w:tc>
          <w:tcPr>
            <w:tcW w:w="1305"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2,646.00 </w:t>
            </w:r>
          </w:p>
        </w:tc>
        <w:tc>
          <w:tcPr>
            <w:tcW w:w="888"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8.98 </w:t>
            </w:r>
          </w:p>
        </w:tc>
        <w:tc>
          <w:tcPr>
            <w:tcW w:w="994" w:type="dxa"/>
            <w:tcBorders>
              <w:top w:val="nil"/>
              <w:left w:val="nil"/>
              <w:bottom w:val="single" w:sz="4" w:space="0" w:color="auto"/>
              <w:right w:val="single" w:sz="4" w:space="0" w:color="auto"/>
            </w:tcBorders>
            <w:shd w:val="clear" w:color="auto" w:fill="auto"/>
            <w:noWrap/>
            <w:vAlign w:val="bottom"/>
            <w:hideMark/>
          </w:tcPr>
          <w:p w:rsidR="00457782" w:rsidRPr="00457782" w:rsidRDefault="00457782" w:rsidP="0045778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18"/>
                <w:szCs w:val="18"/>
              </w:rPr>
            </w:pPr>
            <w:r w:rsidRPr="00457782">
              <w:rPr>
                <w:rFonts w:ascii="Calibri" w:eastAsia="Times New Roman" w:hAnsi="Calibri" w:cs="Calibri"/>
                <w:sz w:val="18"/>
                <w:szCs w:val="18"/>
              </w:rPr>
              <w:t xml:space="preserve">        6,039.71 </w:t>
            </w:r>
          </w:p>
        </w:tc>
      </w:tr>
    </w:tbl>
    <w:p w:rsidR="00372D95" w:rsidRDefault="00372D95" w:rsidP="00372D95"/>
    <w:p w:rsidR="00633A15" w:rsidRDefault="00633A15" w:rsidP="00372D95"/>
    <w:p w:rsidR="001677C5" w:rsidRPr="003C6C9E" w:rsidRDefault="000C588B" w:rsidP="00372D95">
      <w:pPr>
        <w:rPr>
          <w:b/>
          <w:sz w:val="20"/>
        </w:rPr>
      </w:pPr>
      <w:r w:rsidRPr="003C6C9E">
        <w:rPr>
          <w:b/>
          <w:sz w:val="20"/>
        </w:rPr>
        <w:t>Outliers analysis using IQR</w:t>
      </w:r>
    </w:p>
    <w:p w:rsidR="000C588B" w:rsidRPr="003C6C9E" w:rsidRDefault="000C588B" w:rsidP="00372D95">
      <w:pPr>
        <w:rPr>
          <w:sz w:val="20"/>
        </w:rPr>
      </w:pPr>
    </w:p>
    <w:p w:rsidR="000C588B" w:rsidRDefault="000C588B" w:rsidP="000C588B">
      <w:pPr>
        <w:pStyle w:val="ListParagraph"/>
        <w:numPr>
          <w:ilvl w:val="0"/>
          <w:numId w:val="6"/>
        </w:numPr>
        <w:rPr>
          <w:sz w:val="20"/>
        </w:rPr>
      </w:pPr>
      <w:r w:rsidRPr="003C6C9E">
        <w:rPr>
          <w:b/>
          <w:sz w:val="20"/>
        </w:rPr>
        <w:t>Cheyenne</w:t>
      </w:r>
      <w:r w:rsidRPr="003C6C9E">
        <w:rPr>
          <w:sz w:val="20"/>
        </w:rPr>
        <w:t xml:space="preserve"> – </w:t>
      </w:r>
      <w:r w:rsidR="0018747F" w:rsidRPr="003C6C9E">
        <w:rPr>
          <w:sz w:val="20"/>
        </w:rPr>
        <w:t>Outlier</w:t>
      </w:r>
      <w:r w:rsidR="003C6C9E" w:rsidRPr="003C6C9E">
        <w:rPr>
          <w:sz w:val="20"/>
        </w:rPr>
        <w:t xml:space="preserve"> when it comes to Total Sales, population (2010 Census), population density and total families. However, </w:t>
      </w:r>
      <w:r w:rsidR="003C6C9E">
        <w:rPr>
          <w:sz w:val="20"/>
        </w:rPr>
        <w:t xml:space="preserve">higher total sales can be attributed to </w:t>
      </w:r>
      <w:r w:rsidR="003C6C9E" w:rsidRPr="003C6C9E">
        <w:rPr>
          <w:sz w:val="20"/>
        </w:rPr>
        <w:t xml:space="preserve">the </w:t>
      </w:r>
      <w:r w:rsidR="003C6C9E">
        <w:rPr>
          <w:sz w:val="20"/>
        </w:rPr>
        <w:t xml:space="preserve">higher </w:t>
      </w:r>
      <w:r w:rsidR="003C6C9E" w:rsidRPr="003C6C9E">
        <w:rPr>
          <w:sz w:val="20"/>
        </w:rPr>
        <w:t>population</w:t>
      </w:r>
      <w:r w:rsidR="003C6C9E">
        <w:rPr>
          <w:sz w:val="20"/>
        </w:rPr>
        <w:t xml:space="preserve"> and comparatively high number of families in the city. </w:t>
      </w:r>
      <w:r w:rsidR="00427B20">
        <w:rPr>
          <w:sz w:val="20"/>
        </w:rPr>
        <w:t xml:space="preserve">Additionally, population density for Cheyenne is significantly high (20.34) compared to upper fence and average population density. We can consider potentially </w:t>
      </w:r>
      <w:r w:rsidR="00427B20" w:rsidRPr="00427B20">
        <w:rPr>
          <w:color w:val="FF0000"/>
          <w:sz w:val="20"/>
        </w:rPr>
        <w:t xml:space="preserve">imputing population density of Cheyenne with average population density. </w:t>
      </w:r>
    </w:p>
    <w:p w:rsidR="003C6C9E" w:rsidRPr="003C6C9E" w:rsidRDefault="003C6C9E" w:rsidP="003C6C9E">
      <w:pPr>
        <w:pStyle w:val="ListParagraph"/>
        <w:rPr>
          <w:sz w:val="20"/>
        </w:rPr>
      </w:pPr>
    </w:p>
    <w:p w:rsidR="003C6C9E" w:rsidRDefault="003C6C9E" w:rsidP="000C588B">
      <w:pPr>
        <w:pStyle w:val="ListParagraph"/>
        <w:numPr>
          <w:ilvl w:val="0"/>
          <w:numId w:val="6"/>
        </w:numPr>
        <w:rPr>
          <w:sz w:val="20"/>
        </w:rPr>
      </w:pPr>
      <w:r w:rsidRPr="003C6C9E">
        <w:rPr>
          <w:b/>
          <w:sz w:val="20"/>
        </w:rPr>
        <w:t xml:space="preserve">Gillette </w:t>
      </w:r>
      <w:r w:rsidRPr="003C6C9E">
        <w:rPr>
          <w:sz w:val="20"/>
        </w:rPr>
        <w:t>– Outlier when it comes to Total Sales</w:t>
      </w:r>
      <w:r w:rsidR="00427B20">
        <w:rPr>
          <w:sz w:val="20"/>
        </w:rPr>
        <w:t xml:space="preserve">, which can be justified by higher population. </w:t>
      </w:r>
    </w:p>
    <w:p w:rsidR="00C63162" w:rsidRPr="00C63162" w:rsidRDefault="00C63162" w:rsidP="00C63162">
      <w:pPr>
        <w:pStyle w:val="ListParagraph"/>
        <w:rPr>
          <w:sz w:val="20"/>
        </w:rPr>
      </w:pPr>
    </w:p>
    <w:p w:rsidR="00C63162" w:rsidRPr="003C6C9E" w:rsidRDefault="00C63162" w:rsidP="000C588B">
      <w:pPr>
        <w:pStyle w:val="ListParagraph"/>
        <w:numPr>
          <w:ilvl w:val="0"/>
          <w:numId w:val="6"/>
        </w:numPr>
        <w:rPr>
          <w:sz w:val="20"/>
        </w:rPr>
      </w:pPr>
      <w:r w:rsidRPr="00C63162">
        <w:rPr>
          <w:b/>
          <w:sz w:val="20"/>
        </w:rPr>
        <w:t>Rock Springs –</w:t>
      </w:r>
      <w:r>
        <w:rPr>
          <w:sz w:val="20"/>
        </w:rPr>
        <w:t xml:space="preserve"> Outlier when it comes to Land Area. </w:t>
      </w:r>
    </w:p>
    <w:p w:rsidR="00633A15" w:rsidRDefault="00633A15" w:rsidP="00372D95"/>
    <w:p w:rsidR="001677C5" w:rsidRPr="00C63162" w:rsidRDefault="001677C5" w:rsidP="00372D95">
      <w:pPr>
        <w:rPr>
          <w:sz w:val="20"/>
        </w:rPr>
      </w:pPr>
    </w:p>
    <w:p w:rsidR="005103E8" w:rsidRDefault="005103E8" w:rsidP="00372D95">
      <w:pPr>
        <w:rPr>
          <w:sz w:val="20"/>
        </w:rPr>
      </w:pPr>
      <w:r w:rsidRPr="00C63162">
        <w:rPr>
          <w:sz w:val="20"/>
        </w:rPr>
        <w:t>Additional justification post annotations provided by reviewer</w:t>
      </w:r>
      <w:r w:rsidR="00C63162">
        <w:rPr>
          <w:sz w:val="20"/>
        </w:rPr>
        <w:t>:</w:t>
      </w:r>
    </w:p>
    <w:p w:rsidR="00C63162" w:rsidRDefault="00C63162" w:rsidP="00372D95">
      <w:pPr>
        <w:rPr>
          <w:sz w:val="20"/>
        </w:rPr>
      </w:pPr>
    </w:p>
    <w:p w:rsidR="00C63162" w:rsidRDefault="00C63162" w:rsidP="00367075">
      <w:pPr>
        <w:rPr>
          <w:sz w:val="20"/>
        </w:rPr>
      </w:pPr>
      <w:r>
        <w:rPr>
          <w:sz w:val="20"/>
        </w:rPr>
        <w:t>As explained above, city of Cheyenne</w:t>
      </w:r>
      <w:r w:rsidR="00175AD6">
        <w:rPr>
          <w:sz w:val="20"/>
        </w:rPr>
        <w:t xml:space="preserve">, </w:t>
      </w:r>
      <w:r>
        <w:rPr>
          <w:sz w:val="20"/>
        </w:rPr>
        <w:t xml:space="preserve">Gillette </w:t>
      </w:r>
      <w:r w:rsidR="00175AD6">
        <w:rPr>
          <w:sz w:val="20"/>
        </w:rPr>
        <w:t xml:space="preserve">and Rock Springs </w:t>
      </w:r>
      <w:r>
        <w:rPr>
          <w:sz w:val="20"/>
        </w:rPr>
        <w:t xml:space="preserve">are clear outliers based on IQR analysis. </w:t>
      </w:r>
      <w:r w:rsidR="003B4BDF">
        <w:rPr>
          <w:sz w:val="20"/>
        </w:rPr>
        <w:t xml:space="preserve">The dataset to be analyzed has only 11 rows, therefore removing 3 may not provide </w:t>
      </w:r>
      <w:r w:rsidR="00367075">
        <w:rPr>
          <w:sz w:val="20"/>
        </w:rPr>
        <w:t>enough</w:t>
      </w:r>
      <w:r w:rsidR="003B4BDF">
        <w:rPr>
          <w:sz w:val="20"/>
        </w:rPr>
        <w:t xml:space="preserve"> training data for predicting new </w:t>
      </w:r>
      <w:r w:rsidR="00367075">
        <w:rPr>
          <w:sz w:val="20"/>
        </w:rPr>
        <w:t>14</w:t>
      </w:r>
      <w:r w:rsidR="00367075" w:rsidRPr="00367075">
        <w:rPr>
          <w:sz w:val="20"/>
          <w:vertAlign w:val="superscript"/>
        </w:rPr>
        <w:t>th</w:t>
      </w:r>
      <w:r w:rsidR="00367075">
        <w:rPr>
          <w:sz w:val="20"/>
        </w:rPr>
        <w:t xml:space="preserve"> </w:t>
      </w:r>
      <w:r w:rsidR="003B4BDF">
        <w:rPr>
          <w:sz w:val="20"/>
        </w:rPr>
        <w:t>store location.</w:t>
      </w:r>
      <w:r w:rsidR="00367075">
        <w:rPr>
          <w:sz w:val="20"/>
        </w:rPr>
        <w:t xml:space="preserve"> </w:t>
      </w:r>
      <w:r w:rsidR="00175AD6">
        <w:rPr>
          <w:sz w:val="20"/>
        </w:rPr>
        <w:t xml:space="preserve">Gillette and Rock Springs are </w:t>
      </w:r>
      <w:r w:rsidR="003B4BDF">
        <w:rPr>
          <w:sz w:val="20"/>
        </w:rPr>
        <w:t>outliers in one field therefore these outliers should not be removed from the dataset</w:t>
      </w:r>
      <w:r w:rsidR="00367075">
        <w:rPr>
          <w:sz w:val="20"/>
        </w:rPr>
        <w:t xml:space="preserve">. Gillette’s higher sales can be justified by higher population of </w:t>
      </w:r>
      <w:r w:rsidR="0092019C">
        <w:rPr>
          <w:sz w:val="20"/>
        </w:rPr>
        <w:t xml:space="preserve">the city. </w:t>
      </w:r>
      <w:r w:rsidR="00FD51C8">
        <w:rPr>
          <w:sz w:val="20"/>
        </w:rPr>
        <w:t xml:space="preserve">For city of Rock Springs is </w:t>
      </w:r>
      <w:r w:rsidR="001F7648">
        <w:rPr>
          <w:sz w:val="20"/>
        </w:rPr>
        <w:t xml:space="preserve">outlier when it comes to Land Area which suggest negative correlation </w:t>
      </w:r>
      <w:r w:rsidR="000E2145">
        <w:rPr>
          <w:sz w:val="20"/>
        </w:rPr>
        <w:t>therefore,</w:t>
      </w:r>
      <w:r w:rsidR="001F7648">
        <w:rPr>
          <w:sz w:val="20"/>
        </w:rPr>
        <w:t xml:space="preserve"> we probably will not use this Land Area for prediction in future</w:t>
      </w:r>
      <w:r w:rsidR="000E2145">
        <w:rPr>
          <w:sz w:val="20"/>
        </w:rPr>
        <w:t xml:space="preserve">. </w:t>
      </w:r>
    </w:p>
    <w:p w:rsidR="00CE477F" w:rsidRDefault="00CE477F" w:rsidP="00367075">
      <w:pPr>
        <w:rPr>
          <w:sz w:val="20"/>
        </w:rPr>
      </w:pPr>
    </w:p>
    <w:p w:rsidR="00CE477F" w:rsidRDefault="00CE477F" w:rsidP="00367075">
      <w:pPr>
        <w:rPr>
          <w:sz w:val="20"/>
        </w:rPr>
      </w:pPr>
      <w:r>
        <w:rPr>
          <w:sz w:val="20"/>
        </w:rPr>
        <w:t xml:space="preserve">For city of Cheyenne, even though its </w:t>
      </w:r>
      <w:r w:rsidR="00C04C03">
        <w:rPr>
          <w:sz w:val="20"/>
        </w:rPr>
        <w:t>outlier when it comes to sales, this behavior can be attributed to higher population and higher number of families in the Cheyenne. The population density of Cheyenne is significantly high which is well above upper fence as well as average</w:t>
      </w:r>
      <w:r w:rsidR="00635366">
        <w:rPr>
          <w:sz w:val="20"/>
        </w:rPr>
        <w:t xml:space="preserve"> of 5.71. </w:t>
      </w:r>
      <w:r w:rsidR="00DA1495">
        <w:rPr>
          <w:sz w:val="20"/>
        </w:rPr>
        <w:t xml:space="preserve">Imputing will still maintain positive and analogous correlation. </w:t>
      </w:r>
      <w:bookmarkStart w:id="0" w:name="_GoBack"/>
      <w:bookmarkEnd w:id="0"/>
      <w:r w:rsidR="00635366">
        <w:rPr>
          <w:sz w:val="20"/>
        </w:rPr>
        <w:t xml:space="preserve"> </w:t>
      </w:r>
      <w:r w:rsidR="00C04C03">
        <w:rPr>
          <w:sz w:val="20"/>
        </w:rPr>
        <w:t xml:space="preserve"> </w:t>
      </w:r>
    </w:p>
    <w:p w:rsidR="00367075" w:rsidRDefault="00367075" w:rsidP="00367075">
      <w:pPr>
        <w:rPr>
          <w:sz w:val="20"/>
        </w:rPr>
      </w:pPr>
    </w:p>
    <w:p w:rsidR="00367075" w:rsidRDefault="00367075" w:rsidP="00367075">
      <w:pPr>
        <w:rPr>
          <w:sz w:val="20"/>
        </w:rPr>
      </w:pPr>
    </w:p>
    <w:p w:rsidR="00367075" w:rsidRPr="00C63162" w:rsidRDefault="00367075" w:rsidP="00367075">
      <w:pPr>
        <w:rPr>
          <w:sz w:val="20"/>
        </w:rPr>
        <w:sectPr w:rsidR="00367075" w:rsidRPr="00C63162" w:rsidSect="00372D95">
          <w:type w:val="continuous"/>
          <w:pgSz w:w="12240" w:h="15840"/>
          <w:pgMar w:top="1440" w:right="1440" w:bottom="1440" w:left="1440" w:header="0" w:footer="720" w:gutter="0"/>
          <w:pgNumType w:start="1"/>
          <w:cols w:space="720"/>
        </w:sectPr>
      </w:pPr>
    </w:p>
    <w:p w:rsidR="00FF6EBF" w:rsidRDefault="00C63162">
      <w:r>
        <w:t xml:space="preserve"> </w:t>
      </w:r>
    </w:p>
    <w:sectPr w:rsidR="00FF6EBF" w:rsidSect="00372D95">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AD2" w:rsidRDefault="00785AD2" w:rsidP="002A7276">
      <w:pPr>
        <w:spacing w:line="240" w:lineRule="auto"/>
      </w:pPr>
      <w:r>
        <w:separator/>
      </w:r>
    </w:p>
  </w:endnote>
  <w:endnote w:type="continuationSeparator" w:id="0">
    <w:p w:rsidR="00785AD2" w:rsidRDefault="00785AD2" w:rsidP="002A7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AD2" w:rsidRDefault="00785AD2" w:rsidP="002A7276">
      <w:pPr>
        <w:spacing w:line="240" w:lineRule="auto"/>
      </w:pPr>
      <w:r>
        <w:separator/>
      </w:r>
    </w:p>
  </w:footnote>
  <w:footnote w:type="continuationSeparator" w:id="0">
    <w:p w:rsidR="00785AD2" w:rsidRDefault="00785AD2" w:rsidP="002A7276">
      <w:pPr>
        <w:spacing w:line="240" w:lineRule="auto"/>
      </w:pPr>
      <w:r>
        <w:continuationSeparator/>
      </w:r>
    </w:p>
  </w:footnote>
  <w:footnote w:id="1">
    <w:p w:rsidR="001F7648" w:rsidRDefault="001F7648">
      <w:pPr>
        <w:pStyle w:val="FootnoteText"/>
      </w:pPr>
      <w:r>
        <w:rPr>
          <w:rStyle w:val="FootnoteReference"/>
        </w:rPr>
        <w:footnoteRef/>
      </w:r>
      <w:r>
        <w:t xml:space="preserve"> Land Area has negative correlation with sales. The data indicates that increase in land area decreases sales. </w:t>
      </w:r>
    </w:p>
  </w:footnote>
  <w:footnote w:id="2">
    <w:p w:rsidR="002A7276" w:rsidRDefault="002A7276">
      <w:pPr>
        <w:pStyle w:val="FootnoteText"/>
      </w:pPr>
      <w:r>
        <w:rPr>
          <w:rStyle w:val="FootnoteReference"/>
        </w:rPr>
        <w:footnoteRef/>
      </w:r>
      <w:r>
        <w:t xml:space="preserve"> </w:t>
      </w:r>
      <w:r w:rsidR="00C27941">
        <w:t xml:space="preserve">City of Cheyenne has significantly high population density.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BA3"/>
    <w:multiLevelType w:val="hybridMultilevel"/>
    <w:tmpl w:val="AF085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7D0C8D"/>
    <w:multiLevelType w:val="hybridMultilevel"/>
    <w:tmpl w:val="8B721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D00BF"/>
    <w:multiLevelType w:val="hybridMultilevel"/>
    <w:tmpl w:val="8452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F70D5"/>
    <w:multiLevelType w:val="hybridMultilevel"/>
    <w:tmpl w:val="2ED06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449BD"/>
    <w:multiLevelType w:val="multilevel"/>
    <w:tmpl w:val="3438C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64C0510"/>
    <w:multiLevelType w:val="hybridMultilevel"/>
    <w:tmpl w:val="B3EE6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6EBF"/>
    <w:rsid w:val="00007799"/>
    <w:rsid w:val="000C588B"/>
    <w:rsid w:val="000E2145"/>
    <w:rsid w:val="00153AAB"/>
    <w:rsid w:val="001677C5"/>
    <w:rsid w:val="00175AD6"/>
    <w:rsid w:val="0018747F"/>
    <w:rsid w:val="001941DF"/>
    <w:rsid w:val="001A3CA3"/>
    <w:rsid w:val="001F7648"/>
    <w:rsid w:val="00205A6B"/>
    <w:rsid w:val="00211DA3"/>
    <w:rsid w:val="002A7276"/>
    <w:rsid w:val="002E401A"/>
    <w:rsid w:val="00331C86"/>
    <w:rsid w:val="00360FFF"/>
    <w:rsid w:val="00367075"/>
    <w:rsid w:val="00372D95"/>
    <w:rsid w:val="003B4BDF"/>
    <w:rsid w:val="003C6C9E"/>
    <w:rsid w:val="003F7D12"/>
    <w:rsid w:val="0041678F"/>
    <w:rsid w:val="00426761"/>
    <w:rsid w:val="00427B20"/>
    <w:rsid w:val="00457782"/>
    <w:rsid w:val="005103E8"/>
    <w:rsid w:val="005153F9"/>
    <w:rsid w:val="005213E1"/>
    <w:rsid w:val="00633A15"/>
    <w:rsid w:val="00635366"/>
    <w:rsid w:val="00655A0C"/>
    <w:rsid w:val="006716F6"/>
    <w:rsid w:val="006B27B8"/>
    <w:rsid w:val="00785AD2"/>
    <w:rsid w:val="0092019C"/>
    <w:rsid w:val="009D7FE6"/>
    <w:rsid w:val="009E6CAF"/>
    <w:rsid w:val="00A665B6"/>
    <w:rsid w:val="00C04C03"/>
    <w:rsid w:val="00C27941"/>
    <w:rsid w:val="00C5717E"/>
    <w:rsid w:val="00C63162"/>
    <w:rsid w:val="00C643CE"/>
    <w:rsid w:val="00CE477F"/>
    <w:rsid w:val="00DA1495"/>
    <w:rsid w:val="00E56828"/>
    <w:rsid w:val="00FB365F"/>
    <w:rsid w:val="00FD51C8"/>
    <w:rsid w:val="00FF2D53"/>
    <w:rsid w:val="00FF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59AA"/>
  <w15:docId w15:val="{E9A335B8-29AA-44C8-B5EB-8EB9F6BA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B27B8"/>
    <w:pPr>
      <w:ind w:left="720"/>
      <w:contextualSpacing/>
    </w:pPr>
  </w:style>
  <w:style w:type="paragraph" w:styleId="BalloonText">
    <w:name w:val="Balloon Text"/>
    <w:basedOn w:val="Normal"/>
    <w:link w:val="BalloonTextChar"/>
    <w:uiPriority w:val="99"/>
    <w:semiHidden/>
    <w:unhideWhenUsed/>
    <w:rsid w:val="001A3C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CA3"/>
    <w:rPr>
      <w:rFonts w:ascii="Segoe UI" w:hAnsi="Segoe UI" w:cs="Segoe UI"/>
      <w:sz w:val="18"/>
      <w:szCs w:val="18"/>
    </w:rPr>
  </w:style>
  <w:style w:type="table" w:styleId="TableGrid">
    <w:name w:val="Table Grid"/>
    <w:basedOn w:val="TableNormal"/>
    <w:uiPriority w:val="39"/>
    <w:rsid w:val="00372D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A7276"/>
    <w:pPr>
      <w:spacing w:line="240" w:lineRule="auto"/>
    </w:pPr>
    <w:rPr>
      <w:sz w:val="20"/>
      <w:szCs w:val="20"/>
    </w:rPr>
  </w:style>
  <w:style w:type="character" w:customStyle="1" w:styleId="EndnoteTextChar">
    <w:name w:val="Endnote Text Char"/>
    <w:basedOn w:val="DefaultParagraphFont"/>
    <w:link w:val="EndnoteText"/>
    <w:uiPriority w:val="99"/>
    <w:semiHidden/>
    <w:rsid w:val="002A7276"/>
    <w:rPr>
      <w:sz w:val="20"/>
      <w:szCs w:val="20"/>
    </w:rPr>
  </w:style>
  <w:style w:type="character" w:styleId="EndnoteReference">
    <w:name w:val="endnote reference"/>
    <w:basedOn w:val="DefaultParagraphFont"/>
    <w:uiPriority w:val="99"/>
    <w:semiHidden/>
    <w:unhideWhenUsed/>
    <w:rsid w:val="002A7276"/>
    <w:rPr>
      <w:vertAlign w:val="superscript"/>
    </w:rPr>
  </w:style>
  <w:style w:type="paragraph" w:styleId="FootnoteText">
    <w:name w:val="footnote text"/>
    <w:basedOn w:val="Normal"/>
    <w:link w:val="FootnoteTextChar"/>
    <w:uiPriority w:val="99"/>
    <w:semiHidden/>
    <w:unhideWhenUsed/>
    <w:rsid w:val="002A7276"/>
    <w:pPr>
      <w:spacing w:line="240" w:lineRule="auto"/>
    </w:pPr>
    <w:rPr>
      <w:sz w:val="20"/>
      <w:szCs w:val="20"/>
    </w:rPr>
  </w:style>
  <w:style w:type="character" w:customStyle="1" w:styleId="FootnoteTextChar">
    <w:name w:val="Footnote Text Char"/>
    <w:basedOn w:val="DefaultParagraphFont"/>
    <w:link w:val="FootnoteText"/>
    <w:uiPriority w:val="99"/>
    <w:semiHidden/>
    <w:rsid w:val="002A7276"/>
    <w:rPr>
      <w:sz w:val="20"/>
      <w:szCs w:val="20"/>
    </w:rPr>
  </w:style>
  <w:style w:type="character" w:styleId="FootnoteReference">
    <w:name w:val="footnote reference"/>
    <w:basedOn w:val="DefaultParagraphFont"/>
    <w:uiPriority w:val="99"/>
    <w:semiHidden/>
    <w:unhideWhenUsed/>
    <w:rsid w:val="002A72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0676">
      <w:bodyDiv w:val="1"/>
      <w:marLeft w:val="0"/>
      <w:marRight w:val="0"/>
      <w:marTop w:val="0"/>
      <w:marBottom w:val="0"/>
      <w:divBdr>
        <w:top w:val="none" w:sz="0" w:space="0" w:color="auto"/>
        <w:left w:val="none" w:sz="0" w:space="0" w:color="auto"/>
        <w:bottom w:val="none" w:sz="0" w:space="0" w:color="auto"/>
        <w:right w:val="none" w:sz="0" w:space="0" w:color="auto"/>
      </w:divBdr>
    </w:div>
    <w:div w:id="637030294">
      <w:bodyDiv w:val="1"/>
      <w:marLeft w:val="0"/>
      <w:marRight w:val="0"/>
      <w:marTop w:val="0"/>
      <w:marBottom w:val="0"/>
      <w:divBdr>
        <w:top w:val="none" w:sz="0" w:space="0" w:color="auto"/>
        <w:left w:val="none" w:sz="0" w:space="0" w:color="auto"/>
        <w:bottom w:val="none" w:sz="0" w:space="0" w:color="auto"/>
        <w:right w:val="none" w:sz="0" w:space="0" w:color="auto"/>
      </w:divBdr>
    </w:div>
    <w:div w:id="685178896">
      <w:bodyDiv w:val="1"/>
      <w:marLeft w:val="0"/>
      <w:marRight w:val="0"/>
      <w:marTop w:val="0"/>
      <w:marBottom w:val="0"/>
      <w:divBdr>
        <w:top w:val="none" w:sz="0" w:space="0" w:color="auto"/>
        <w:left w:val="none" w:sz="0" w:space="0" w:color="auto"/>
        <w:bottom w:val="none" w:sz="0" w:space="0" w:color="auto"/>
        <w:right w:val="none" w:sz="0" w:space="0" w:color="auto"/>
      </w:divBdr>
    </w:div>
    <w:div w:id="797256357">
      <w:bodyDiv w:val="1"/>
      <w:marLeft w:val="0"/>
      <w:marRight w:val="0"/>
      <w:marTop w:val="0"/>
      <w:marBottom w:val="0"/>
      <w:divBdr>
        <w:top w:val="none" w:sz="0" w:space="0" w:color="auto"/>
        <w:left w:val="none" w:sz="0" w:space="0" w:color="auto"/>
        <w:bottom w:val="none" w:sz="0" w:space="0" w:color="auto"/>
        <w:right w:val="none" w:sz="0" w:space="0" w:color="auto"/>
      </w:divBdr>
    </w:div>
    <w:div w:id="897521959">
      <w:bodyDiv w:val="1"/>
      <w:marLeft w:val="0"/>
      <w:marRight w:val="0"/>
      <w:marTop w:val="0"/>
      <w:marBottom w:val="0"/>
      <w:divBdr>
        <w:top w:val="none" w:sz="0" w:space="0" w:color="auto"/>
        <w:left w:val="none" w:sz="0" w:space="0" w:color="auto"/>
        <w:bottom w:val="none" w:sz="0" w:space="0" w:color="auto"/>
        <w:right w:val="none" w:sz="0" w:space="0" w:color="auto"/>
      </w:divBdr>
    </w:div>
    <w:div w:id="1079212169">
      <w:bodyDiv w:val="1"/>
      <w:marLeft w:val="0"/>
      <w:marRight w:val="0"/>
      <w:marTop w:val="0"/>
      <w:marBottom w:val="0"/>
      <w:divBdr>
        <w:top w:val="none" w:sz="0" w:space="0" w:color="auto"/>
        <w:left w:val="none" w:sz="0" w:space="0" w:color="auto"/>
        <w:bottom w:val="none" w:sz="0" w:space="0" w:color="auto"/>
        <w:right w:val="none" w:sz="0" w:space="0" w:color="auto"/>
      </w:divBdr>
    </w:div>
    <w:div w:id="1152910211">
      <w:bodyDiv w:val="1"/>
      <w:marLeft w:val="0"/>
      <w:marRight w:val="0"/>
      <w:marTop w:val="0"/>
      <w:marBottom w:val="0"/>
      <w:divBdr>
        <w:top w:val="none" w:sz="0" w:space="0" w:color="auto"/>
        <w:left w:val="none" w:sz="0" w:space="0" w:color="auto"/>
        <w:bottom w:val="none" w:sz="0" w:space="0" w:color="auto"/>
        <w:right w:val="none" w:sz="0" w:space="0" w:color="auto"/>
      </w:divBdr>
    </w:div>
    <w:div w:id="1164199892">
      <w:bodyDiv w:val="1"/>
      <w:marLeft w:val="0"/>
      <w:marRight w:val="0"/>
      <w:marTop w:val="0"/>
      <w:marBottom w:val="0"/>
      <w:divBdr>
        <w:top w:val="none" w:sz="0" w:space="0" w:color="auto"/>
        <w:left w:val="none" w:sz="0" w:space="0" w:color="auto"/>
        <w:bottom w:val="none" w:sz="0" w:space="0" w:color="auto"/>
        <w:right w:val="none" w:sz="0" w:space="0" w:color="auto"/>
      </w:divBdr>
    </w:div>
    <w:div w:id="1351371176">
      <w:bodyDiv w:val="1"/>
      <w:marLeft w:val="0"/>
      <w:marRight w:val="0"/>
      <w:marTop w:val="0"/>
      <w:marBottom w:val="0"/>
      <w:divBdr>
        <w:top w:val="none" w:sz="0" w:space="0" w:color="auto"/>
        <w:left w:val="none" w:sz="0" w:space="0" w:color="auto"/>
        <w:bottom w:val="none" w:sz="0" w:space="0" w:color="auto"/>
        <w:right w:val="none" w:sz="0" w:space="0" w:color="auto"/>
      </w:divBdr>
    </w:div>
    <w:div w:id="1364013665">
      <w:bodyDiv w:val="1"/>
      <w:marLeft w:val="0"/>
      <w:marRight w:val="0"/>
      <w:marTop w:val="0"/>
      <w:marBottom w:val="0"/>
      <w:divBdr>
        <w:top w:val="none" w:sz="0" w:space="0" w:color="auto"/>
        <w:left w:val="none" w:sz="0" w:space="0" w:color="auto"/>
        <w:bottom w:val="none" w:sz="0" w:space="0" w:color="auto"/>
        <w:right w:val="none" w:sz="0" w:space="0" w:color="auto"/>
      </w:divBdr>
    </w:div>
    <w:div w:id="1459646140">
      <w:bodyDiv w:val="1"/>
      <w:marLeft w:val="0"/>
      <w:marRight w:val="0"/>
      <w:marTop w:val="0"/>
      <w:marBottom w:val="0"/>
      <w:divBdr>
        <w:top w:val="none" w:sz="0" w:space="0" w:color="auto"/>
        <w:left w:val="none" w:sz="0" w:space="0" w:color="auto"/>
        <w:bottom w:val="none" w:sz="0" w:space="0" w:color="auto"/>
        <w:right w:val="none" w:sz="0" w:space="0" w:color="auto"/>
      </w:divBdr>
    </w:div>
    <w:div w:id="1557278294">
      <w:bodyDiv w:val="1"/>
      <w:marLeft w:val="0"/>
      <w:marRight w:val="0"/>
      <w:marTop w:val="0"/>
      <w:marBottom w:val="0"/>
      <w:divBdr>
        <w:top w:val="none" w:sz="0" w:space="0" w:color="auto"/>
        <w:left w:val="none" w:sz="0" w:space="0" w:color="auto"/>
        <w:bottom w:val="none" w:sz="0" w:space="0" w:color="auto"/>
        <w:right w:val="none" w:sz="0" w:space="0" w:color="auto"/>
      </w:divBdr>
    </w:div>
    <w:div w:id="1585652447">
      <w:bodyDiv w:val="1"/>
      <w:marLeft w:val="0"/>
      <w:marRight w:val="0"/>
      <w:marTop w:val="0"/>
      <w:marBottom w:val="0"/>
      <w:divBdr>
        <w:top w:val="none" w:sz="0" w:space="0" w:color="auto"/>
        <w:left w:val="none" w:sz="0" w:space="0" w:color="auto"/>
        <w:bottom w:val="none" w:sz="0" w:space="0" w:color="auto"/>
        <w:right w:val="none" w:sz="0" w:space="0" w:color="auto"/>
      </w:divBdr>
    </w:div>
    <w:div w:id="1655329520">
      <w:bodyDiv w:val="1"/>
      <w:marLeft w:val="0"/>
      <w:marRight w:val="0"/>
      <w:marTop w:val="0"/>
      <w:marBottom w:val="0"/>
      <w:divBdr>
        <w:top w:val="none" w:sz="0" w:space="0" w:color="auto"/>
        <w:left w:val="none" w:sz="0" w:space="0" w:color="auto"/>
        <w:bottom w:val="none" w:sz="0" w:space="0" w:color="auto"/>
        <w:right w:val="none" w:sz="0" w:space="0" w:color="auto"/>
      </w:divBdr>
    </w:div>
    <w:div w:id="185876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93237-7716-48B7-A903-F604C7446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S Chaudhari</cp:lastModifiedBy>
  <cp:revision>8</cp:revision>
  <dcterms:created xsi:type="dcterms:W3CDTF">2019-12-02T03:48:00Z</dcterms:created>
  <dcterms:modified xsi:type="dcterms:W3CDTF">2019-12-02T05:04:00Z</dcterms:modified>
</cp:coreProperties>
</file>