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企业资产管理系统 (EAM) 产品需求文档 (PRD)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文档概述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本文档定义了企业资产管理系统的核心功能与业务逻辑，旨在为开发团队提供清晰的建设目标。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角色与权限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普通员工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：负责发起资产领用、退库、报修申请。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部门经理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：负责审批本部门员工发起的资产变动申请。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资产管理员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：负责资产入库、盘点、调拨及最终报废审批。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系统管理员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：负责组织架构维护、流程定义配置及系统权限分配。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核心功能模块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资产台账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入库管理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：支持手动录入与 Excel 批量导入。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二维码生成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：自动为每一件资产生成唯一的身份 ID 和二维码。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资产查询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：支持按分类、状态、部门、持有人等多维度筛选。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资产流转 (BPMN 驱动)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申领流程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：员工申请 -&gt; 部门负责人审批 -&gt; 自动变更状态。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调拨流程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：跨部门移交需经过转出部门与转入部门的双向确认。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报废流程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：管理员发起 -&gt; 财务核销审批 -&gt; 状态变更为已报废。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组织架构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层级管理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：支持集团-分公司-部门-小组的多级树形结构。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负责人制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：每个部门节点必须绑定负责人，用于支撑流程引擎的动态寻找。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非功能性需求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审计追踪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：所有资产的变动历史必须可追溯。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：资产数据根据部门权限进行隔离。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