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企业资产管理系统 (EAM) 系统设计方案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技术架构选型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后端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：Java 17 / Spring Boot 3 / Mybatis-Plus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流程引擎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：Flowable 7.0 (BPMN 2.0 标准)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：MySQL 8.0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：React 18 / Tailwind CSS / Lucide Icons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流程设计器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：bpmn-js (集成于管理后台)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核心设计原则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逻辑解耦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：资产业务逻辑（ams表）与流程引擎逻辑（act表）物理隔离，通过 proc_inst_id 关联。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配置化审批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：审批人通过表达式 ${deptHandler.getLeader(execution)} 动态获取，实现“流程不改，架构随动”。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状态机模型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：资产状态由流程节点的“执行监听器”触发自动更新。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数据库模型 (ER)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sys_dept：存储组织树与负责人信息。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ams_asset：核心台账表。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ams_request_bill：业务申请表，记录申请详情及关联的流程实例。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安全设计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采用 RBAC 权限模型。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流程审批操作需通过后端的 TaskService 进行严格的 Assignee 校验，防止越权。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