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resume2.pdf 解析乱码问题分析报告</w:t>
      </w:r>
    </w:p>
    <w:p>
      <w:pPr>
        <w:pStyle w:val="Heading2"/>
      </w:pPr>
      <w:r>
        <w:t>一、问题现象</w:t>
      </w:r>
    </w:p>
    <w:p>
      <w:r>
        <w:t>使用 PyMuPDF 的 page.get_text() 方法提取 resume2.pdf 文本时，输出内容全部为乱码，例如：</w:t>
      </w:r>
    </w:p>
    <w:p>
      <w:pPr>
        <w:pStyle w:val="IntenseQuote"/>
      </w:pPr>
      <w:r>
        <w:t>î}÷ u WîM· AI ïÕ&amp;To C ïÕ ù }²Ìo WîM·úo_ö ...</w:t>
      </w:r>
    </w:p>
    <w:p>
      <w:r>
        <w:t>原始 PDF 在阅读器中显示正常，但程序提取的文本完全不可读。</w:t>
      </w:r>
    </w:p>
    <w:p>
      <w:pPr>
        <w:pStyle w:val="Heading2"/>
      </w:pPr>
      <w:r>
        <w:t>二、根因分析</w:t>
      </w:r>
    </w:p>
    <w:p>
      <w:pPr>
        <w:pStyle w:val="Heading3"/>
      </w:pPr>
      <w:r>
        <w:t>2.1 字体类型：Type3 自定义字体</w:t>
      </w:r>
    </w:p>
    <w:p>
      <w:r>
        <w:t>该 PDF 的第 1 页包含 446 个 Type3 类型字体（如 R100、R102、R104 等）。Type3 字体是 PDF 规范中最特殊的一种字体类型——每个字形（glyph）都以 PDF 绘图指令（而非标准字体轮廓）定义。这意味着 PDF 阅读器可以正确渲染这些字形的视觉外观，但文本提取工具无法通过字体编码将字形映射回正确的 Unicode 字符。</w:t>
      </w:r>
    </w:p>
    <w:p>
      <w:pPr>
        <w:pStyle w:val="Heading3"/>
      </w:pPr>
      <w:r>
        <w:t>2.2 编码问题：WinAnsiEncoding 与缺失的 ToUnicode 映射</w:t>
      </w:r>
    </w:p>
    <w:p>
      <w:r>
        <w:t>所有 446 个 Type3 字体均声明使用 WinAnsiEncoding，但未提供 ToUnicode CMap 映射表。正常的中文 PDF 会在字体对象中嵌入 ToUnicode CMap，将内部字符编码映射到对应的 Unicode 码位。该 PDF 缺失此映射，导致 PyMuPDF 只能按照 WinAnsiEncoding（Latin-1）解码字符编码，中文字符被错误映射到 Latin-1 Supplement 范围（U+0080–U+00FF），产生乱码。</w:t>
      </w:r>
    </w:p>
    <w:p>
      <w:pPr>
        <w:pStyle w:val="Heading3"/>
      </w:pPr>
      <w:r>
        <w:t>2.3 字符分布验证</w:t>
      </w:r>
    </w:p>
    <w:p>
      <w:r>
        <w:t>对第 1 页提取文本的字符分布统计如下：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字符类别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ASCII 可打印字符（含数字、英文、标点）</w:t>
            </w:r>
          </w:p>
        </w:tc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59.5%</w:t>
            </w:r>
          </w:p>
        </w:tc>
      </w:tr>
      <w:tr>
        <w:tc>
          <w:tcPr>
            <w:tcW w:type="dxa" w:w="2880"/>
          </w:tcPr>
          <w:p>
            <w:r>
              <w:t>Latin-1 Supplement 乱码字符（U+0080–U+00FF）</w:t>
            </w:r>
          </w:p>
        </w:tc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40.5%</w:t>
            </w:r>
          </w:p>
        </w:tc>
      </w:tr>
      <w:tr>
        <w:tc>
          <w:tcPr>
            <w:tcW w:type="dxa" w:w="2880"/>
          </w:tcPr>
          <w:p>
            <w:r>
              <w:t>CJK 中文字符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控制字符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2.2%</w:t>
            </w:r>
          </w:p>
        </w:tc>
      </w:tr>
    </w:tbl>
    <w:p/>
    <w:p>
      <w:r>
        <w:t>关键指标：CJK 字符数为 0。一份中文简历理应包含大量中文字符，0 个 CJK 字符明确证实所有中文内容被错误编码。ASCII 字符（59.5%）来自简历中的手机号、邮箱、日期等原生英文内容，属于正确提取的部分。</w:t>
      </w:r>
    </w:p>
    <w:p>
      <w:pPr>
        <w:pStyle w:val="Heading2"/>
      </w:pPr>
      <w:r>
        <w:t>三、该 PDF 的生成方式推测</w:t>
      </w:r>
    </w:p>
    <w:p>
      <w:r>
        <w:t>使用 446 个 Type3 字体（每个中文字符对应一个独立的字体对象）是某些在线简历制作工具或特定排版软件的典型行为。这类工具将每个字符渲染为矢量图形路径，确保视觉显示一致，但牺牲了文本的可提取性。常见于：</w:t>
      </w:r>
    </w:p>
    <w:p>
      <w:pPr>
        <w:pStyle w:val="ListBullet"/>
      </w:pPr>
      <w:r>
        <w:t>部分在线简历模板网站导出的 PDF</w:t>
      </w:r>
    </w:p>
    <w:p>
      <w:pPr>
        <w:pStyle w:val="ListBullet"/>
      </w:pPr>
      <w:r>
        <w:t>使用 Canvas/SVG 渲染后转 PDF 的 Web 应用</w:t>
      </w:r>
    </w:p>
    <w:p>
      <w:pPr>
        <w:pStyle w:val="ListBullet"/>
      </w:pPr>
      <w:r>
        <w:t>某些设计工具（如 Canva）导出的 PDF</w:t>
      </w:r>
    </w:p>
    <w:p>
      <w:pPr>
        <w:pStyle w:val="Heading2"/>
      </w:pPr>
      <w:r>
        <w:t>四、解决方案</w:t>
      </w:r>
    </w:p>
    <w:p>
      <w:pPr>
        <w:pStyle w:val="Heading3"/>
      </w:pPr>
      <w:r>
        <w:t>4.1 乱码检测机制</w:t>
      </w:r>
    </w:p>
    <w:p>
      <w:r>
        <w:t>在 PDF 提取流程中新增 _is_legible() 文本质量检测函数，统计可读字符（CJK 字符 + ASCII 可打印字符）在非空白字符中的占比。当占比低于 60% 时，判定为乱码文本，自动跳过 get_text() 结果，进入 OCR 流程。</w:t>
      </w:r>
    </w:p>
    <w:p>
      <w:pPr>
        <w:pStyle w:val="Heading3"/>
      </w:pPr>
      <w:r>
        <w:t>4.2 OCR Fallback 策略</w:t>
      </w:r>
    </w:p>
    <w:p>
      <w:r>
        <w:t>采用三级降级策略：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特点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PyMuPDF get_text()</w:t>
            </w:r>
          </w:p>
        </w:tc>
        <w:tc>
          <w:tcPr>
            <w:tcW w:type="dxa" w:w="2160"/>
          </w:tcPr>
          <w:p>
            <w:r>
              <w:t>速度快、免费、零依赖</w:t>
            </w:r>
          </w:p>
        </w:tc>
        <w:tc>
          <w:tcPr>
            <w:tcW w:type="dxa" w:w="2160"/>
          </w:tcPr>
          <w:p>
            <w:r>
              <w:t>默认使用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RapidOCR (ONNX Runtime)</w:t>
            </w:r>
          </w:p>
        </w:tc>
        <w:tc>
          <w:tcPr>
            <w:tcW w:type="dxa" w:w="2160"/>
          </w:tcPr>
          <w:p>
            <w:r>
              <w:t>中英文混排、本地运行、免费</w:t>
            </w:r>
          </w:p>
        </w:tc>
        <w:tc>
          <w:tcPr>
            <w:tcW w:type="dxa" w:w="2160"/>
          </w:tcPr>
          <w:p>
            <w:r>
              <w:t>get_text() 结果乱码或过短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GPT-4o Vision API</w:t>
            </w:r>
          </w:p>
        </w:tc>
        <w:tc>
          <w:tcPr>
            <w:tcW w:type="dxa" w:w="2160"/>
          </w:tcPr>
          <w:p>
            <w:r>
              <w:t>识别质量最高</w:t>
            </w:r>
          </w:p>
        </w:tc>
        <w:tc>
          <w:tcPr>
            <w:tcW w:type="dxa" w:w="2160"/>
          </w:tcPr>
          <w:p>
            <w:r>
              <w:t>RapidOCR 结果仍不理想</w:t>
            </w:r>
          </w:p>
        </w:tc>
      </w:tr>
    </w:tbl>
    <w:p/>
    <w:p>
      <w:r>
        <w:t>通过该方案，resume2.pdf 的 2 页内容均被 RapidOCR 成功提取，输出 2297 个字符的完整中文简历文本，内容准确无乱码。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