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消费科技新闻报告</w:t>
      </w:r>
    </w:p>
    <w:p>
      <w:pPr>
        <w:jc w:val="center"/>
      </w:pPr>
      <w:r>
        <w:rPr>
          <w:color w:val="808080"/>
          <w:sz w:val="26"/>
        </w:rPr>
        <w:t>2026-03-10 至 2026-03-25</w:t>
      </w:r>
    </w:p>
    <w:p>
      <w:r>
        <w:t>生成时间：2026-03-25 17:56</w:t>
      </w:r>
    </w:p>
    <w:p/>
    <w:p>
      <w:pPr>
        <w:pStyle w:val="Heading1"/>
        <w:jc w:val="left"/>
      </w:pPr>
      <w:r>
        <w:t>行业动态</w:t>
      </w:r>
    </w:p>
    <w:p>
      <w:pPr>
        <w:spacing w:before="200" w:after="40"/>
      </w:pPr>
      <w:hyperlink r:id="rId9">
        <w:r>
          <w:rPr>
            <w:b/>
            <w:color w:val="0563C1"/>
            <w:u w:val="single"/>
            <w:sz w:val="24"/>
          </w:rPr>
          <w:t>当行业还在拼开店，蜜雪冰城在做另一件事</w:t>
        </w:r>
      </w:hyperlink>
    </w:p>
    <w:p>
      <w:pPr>
        <w:spacing w:before="0" w:after="160"/>
      </w:pPr>
      <w:r>
        <w:rPr>
          <w:sz w:val="21"/>
        </w:rPr>
        <w:t>**业绩表现**：蜜雪冰城2025年收入335.6亿元，净利润59.3亿元，分别同比增长35.2%和33.1%，国内门店达4.4万家，幸运咖门店破万 **战略转型**：从单纯拼门店数量转向提升经营质量，新增6474名加盟商（通过率仅5%），显示在行业调整期仍获得理性加盟商认可 **重资产投入**：计划投资18-20亿元深度改造供应链，推进"真鲜纯"战略，用工业化能力实现成本领先，同时加强数字化建设 **多元化布局**：雪王IP商业化加速，旗舰店周边收入占比超80%；幸运咖定位专业咖啡品牌向一二线城市扩张；通过供应链协同探索跨品类发展</w:t>
      </w:r>
    </w:p>
    <w:p>
      <w:pPr>
        <w:spacing w:before="200" w:after="40"/>
      </w:pPr>
      <w:hyperlink r:id="rId10">
        <w:r>
          <w:rPr>
            <w:b/>
            <w:color w:val="0563C1"/>
            <w:u w:val="single"/>
            <w:sz w:val="24"/>
          </w:rPr>
          <w:t>中国奢侈品市场格局改写：LV老铺爱马仕位列前三</w:t>
        </w:r>
      </w:hyperlink>
    </w:p>
    <w:p>
      <w:pPr>
        <w:spacing w:before="0" w:after="160"/>
      </w:pPr>
      <w:r>
        <w:rPr>
          <w:sz w:val="21"/>
        </w:rPr>
        <w:t>**老铺黄金业绩爆发式增长**：2025年销售业绩313.7亿元，同比增长220.3%；净利润50.3亿元，增长234.9%，已成为中国奢侈品市场第二大品牌 **中国奢侈品市场格局重构**：老铺黄金超越爱马仕，逼近LVMH，与LV、爱马仕并列前三，打破了欧洲奢侈品巨头长期主导的市场格局 **创新商业模式获国际认可**：将中国传统工艺与现代奢侈品相结合，单店效率全球第一，获诺贝尔经济学奖得主认定为"创造性破坏"的典型案例 **价值消费新趋势**：在全球经济不确定性背景下，黄金的货币属性叠加文化价值，满足了高净值人群"保值+消费"的双重需求，国际奢侈品集团开始重新审视竞争策略</w:t>
      </w:r>
    </w:p>
    <w:p>
      <w:pPr>
        <w:spacing w:before="200" w:after="40"/>
      </w:pPr>
      <w:hyperlink r:id="rId11">
        <w:r>
          <w:rPr>
            <w:b/>
            <w:color w:val="0563C1"/>
            <w:u w:val="single"/>
            <w:sz w:val="24"/>
          </w:rPr>
          <w:t>当丝芙兰不再押注“独家”</w:t>
        </w:r>
      </w:hyperlink>
    </w:p>
    <w:p>
      <w:pPr>
        <w:spacing w:before="0" w:after="160"/>
      </w:pPr>
      <w:r>
        <w:rPr>
          <w:sz w:val="21"/>
        </w:rPr>
        <w:t>**丝芙兰放弃独家策略**：全球最大美妆零售商丝芙兰宣布与韩国竞争对手Olive Young合作，主动放弃过去20年依赖的"独家销售"模式，该模式曾为其贡献三至四成销售额 **两种商业模式对比**：丝芙兰通过长期排他协议绑定品牌，而Olive Young采用阶段性首发和快速流转模式，后者在韩妆新兴品牌验证方面更具优势 **中国市场本土化困境**：丝芙兰在华业绩承压，2024年上半年营收同比下滑超10%，引入国产品牌面临"不匹配"问题，管理层开始密集调整 **行业竞争格局变化**：面对亚马逊、TikTok Shop等线上渠道冲击，以及渠道稀缺性下降，丝芙兰被迫转向更开放的平台策略，计划未来一年新增150家门店重点布局欧洲市场</w:t>
      </w:r>
    </w:p>
    <w:p/>
    <w:p>
      <w:pPr>
        <w:pStyle w:val="Heading1"/>
        <w:jc w:val="left"/>
      </w:pPr>
      <w:r>
        <w:t>融资新闻</w:t>
      </w:r>
    </w:p>
    <w:p>
      <w:r>
        <w:t>本期暂无融资新闻。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mp.weixin.qq.com/s/cO0C7RwgRHsi67DnPdZopA" TargetMode="External"/><Relationship Id="rId10" Type="http://schemas.openxmlformats.org/officeDocument/2006/relationships/hyperlink" Target="https://mp.weixin.qq.com/s/PeolczCBcF92gOK4D2idQQ" TargetMode="External"/><Relationship Id="rId11" Type="http://schemas.openxmlformats.org/officeDocument/2006/relationships/hyperlink" Target="https://mp.weixin.qq.com/s/CkTISD2SKExJ4dco2466X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