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News Report</w:t>
      </w:r>
    </w:p>
    <w:p>
      <w:pPr>
        <w:jc w:val="center"/>
      </w:pPr>
      <w:r>
        <w:rPr>
          <w:color w:val="808080"/>
          <w:sz w:val="28"/>
        </w:rPr>
        <w:t>2026-02-25 to 2026-02-25</w:t>
      </w:r>
    </w:p>
    <w:p>
      <w:r>
        <w:t>Generated: 2026-02-25 16:40</w:t>
      </w:r>
    </w:p>
    <w:p>
      <w:r>
        <w:t>Total Articles Collected: 10</w:t>
      </w:r>
    </w:p>
    <w:p/>
    <w:p>
      <w:pPr>
        <w:pStyle w:val="Heading1"/>
        <w:jc w:val="left"/>
      </w:pPr>
      <w:r>
        <w:t>AI News Summary</w:t>
      </w:r>
    </w:p>
    <w:p>
      <w:r>
        <w:t>Total: 10 articles</w:t>
        <w:br/>
      </w:r>
    </w:p>
    <w:tbl>
      <w:tblPr>
        <w:tblStyle w:val="LightGrid-Accent1"/>
        <w:tblW w:type="auto" w:w="0"/>
        <w:tblLook w:firstColumn="1" w:firstRow="1" w:lastColumn="0" w:lastRow="0" w:noHBand="0" w:noVBand="1" w:val="04A0"/>
      </w:tblPr>
      <w:tblGrid>
        <w:gridCol w:w="1440"/>
        <w:gridCol w:w="8640"/>
      </w:tblGrid>
      <w:tr>
        <w:tc>
          <w:tcPr>
            <w:tcW w:type="dxa" w:w="4320"/>
          </w:tcPr>
          <w:p>
            <w:r>
              <w:rPr>
                <w:b/>
                <w:sz w:val="24"/>
              </w:rPr>
              <w:t>Date</w:t>
            </w:r>
          </w:p>
        </w:tc>
        <w:tc>
          <w:tcPr>
            <w:tcW w:type="dxa" w:w="4320"/>
          </w:tcPr>
          <w:p>
            <w:r>
              <w:rPr>
                <w:b/>
                <w:sz w:val="24"/>
              </w:rPr>
              <w:t>Summary</w:t>
            </w:r>
          </w:p>
        </w:tc>
      </w:tr>
      <w:tr>
        <w:tc>
          <w:tcPr>
            <w:tcW w:type="dxa" w:w="1440"/>
          </w:tcPr>
          <w:p>
            <w:r>
              <w:rPr>
                <w:sz w:val="20"/>
              </w:rPr>
              <w:t>2026-02-25</w:t>
            </w:r>
          </w:p>
        </w:tc>
        <w:tc>
          <w:tcPr>
            <w:tcW w:type="dxa" w:w="8640"/>
          </w:tcPr>
          <w:p>
            <w:hyperlink r:id="rId9">
              <w:r>
                <w:rPr>
                  <w:color w:val="0563C1"/>
                  <w:u w:val="single"/>
                </w:rPr>
                <w:t>Anthropic updates Claude Cowork tool built to give the average office worker a productivity boost (3 minute read)</w:t>
              </w:r>
            </w:hyperlink>
            <w:r>
              <w:br/>
              <w:br/>
            </w:r>
            <w:r>
              <w:rPr>
                <w:b/>
                <w:sz w:val="20"/>
              </w:rPr>
              <w:t>Anthropic扩展了Claude Cowork</w:t>
            </w:r>
            <w:r>
              <w:rPr>
                <w:sz w:val="20"/>
              </w:rPr>
              <w:t xml:space="preserve">，将其AI生产力工具从研究阶段转变为企业级产品，新增了Google Drive、Gmail、DocuSign和FactSet连接器 </w:t>
            </w:r>
            <w:r>
              <w:rPr>
                <w:b/>
                <w:sz w:val="20"/>
              </w:rPr>
              <w:t>该工具面向知识工作者</w:t>
            </w:r>
            <w:r>
              <w:rPr>
                <w:sz w:val="20"/>
              </w:rPr>
              <w:t xml:space="preserve">，提供可定制的金融分析、工程和人力资源插件，这些插件编码了机构工作流程和公司知识 </w:t>
            </w:r>
            <w:r>
              <w:rPr>
                <w:b/>
                <w:sz w:val="20"/>
              </w:rPr>
              <w:t>软件股最初下跌</w:t>
            </w:r>
            <w:r>
              <w:rPr>
                <w:sz w:val="20"/>
              </w:rPr>
              <w:t xml:space="preserve">，当Claude Cowork上个月推出时，投资者担心AI会颠覆传统商业模式，不过在周二详细公告后股价反弹 </w:t>
            </w:r>
            <w:r>
              <w:rPr>
                <w:b/>
                <w:sz w:val="20"/>
              </w:rPr>
              <w:t>Anthropic在企业市场与OpenAI和谷歌竞争</w:t>
            </w:r>
            <w:r>
              <w:rPr>
                <w:sz w:val="20"/>
              </w:rPr>
              <w:t>，企业客户已占这家估值3800亿美元公司业务的约80%</w:t>
            </w:r>
            <w:r>
              <w:br/>
              <w:br/>
            </w:r>
            <w:r>
              <w:rPr>
                <w:b/>
                <w:sz w:val="20"/>
              </w:rPr>
              <w:t>Anthropic expanded Claude Cowork</w:t>
            </w:r>
            <w:r>
              <w:rPr>
                <w:sz w:val="20"/>
              </w:rPr>
              <w:t xml:space="preserve">, transitioning its AI productivity tool from research to enterprise-grade product with new connectors for Google Drive, Gmail, DocuSign, and FactSet </w:t>
            </w:r>
            <w:r>
              <w:rPr>
                <w:b/>
                <w:sz w:val="20"/>
              </w:rPr>
              <w:t>The tool targets knowledge workers</w:t>
            </w:r>
            <w:r>
              <w:rPr>
                <w:sz w:val="20"/>
              </w:rPr>
              <w:t xml:space="preserve"> with customizable plugins for financial analysis, engineering, and HR that encode institutional workflows and company knowledge </w:t>
            </w:r>
            <w:r>
              <w:rPr>
                <w:b/>
                <w:sz w:val="20"/>
              </w:rPr>
              <w:t>Software stocks initially tumbled</w:t>
            </w:r>
            <w:r>
              <w:rPr>
                <w:sz w:val="20"/>
              </w:rPr>
              <w:t xml:space="preserve"> when Claude Cowork launched last month due to investor concerns about AI disrupting traditional business models, though they rallied after Tuesday's detailed announcement </w:t>
            </w:r>
            <w:r>
              <w:rPr>
                <w:b/>
                <w:sz w:val="20"/>
              </w:rPr>
              <w:t>Anthropic competes for enterprise market</w:t>
            </w:r>
            <w:r>
              <w:rPr>
                <w:sz w:val="20"/>
              </w:rPr>
              <w:t xml:space="preserve"> against OpenAI and Google, with enterprise clients already accounting for roughly 80% of its business at the $380 billion valued company</w:t>
            </w:r>
          </w:p>
        </w:tc>
      </w:tr>
      <w:tr>
        <w:tc>
          <w:tcPr>
            <w:tcW w:type="dxa" w:w="1440"/>
          </w:tcPr>
          <w:p>
            <w:r>
              <w:rPr>
                <w:sz w:val="20"/>
              </w:rPr>
              <w:t>2026-02-25</w:t>
            </w:r>
          </w:p>
        </w:tc>
        <w:tc>
          <w:tcPr>
            <w:tcW w:type="dxa" w:w="8640"/>
          </w:tcPr>
          <w:p>
            <w:hyperlink r:id="rId10">
              <w:r>
                <w:rPr>
                  <w:color w:val="0563C1"/>
                  <w:u w:val="single"/>
                </w:rPr>
                <w:t>Anthropic Dials Back AI Safety Commitments (4 minute read)</w:t>
              </w:r>
            </w:hyperlink>
            <w:r>
              <w:br/>
              <w:br/>
            </w:r>
            <w:r>
              <w:rPr>
                <w:sz w:val="20"/>
              </w:rPr>
              <w:t>Anthropic正在削弱其AI安全政策，该政策此前要求暂停开发危险AI模型，现在如果竞争对手发布类似或更好的模型，则允许继续工作。这一政策变化是由来自竞争对手AI实验室的激烈竞争推动的，这些实验室定期发布尖端工具，迫使Anthropic优先考虑保持竞争力。这代表了该公司核心安全承诺的重大转变，因为它在安全关切与市场压力之间寻求平衡。这一政策修改与Anthropic正在进行的关于使用其Claude AI工具的国防部争议是分开的。</w:t>
            </w:r>
            <w:r>
              <w:br/>
              <w:br/>
            </w:r>
            <w:r>
              <w:rPr>
                <w:sz w:val="20"/>
              </w:rPr>
              <w:t>Anthropic is weakening its AI safety policy that previously required pausing development of dangerous AI models, now allowing continued work if competitors release similar or better models The policy change is driven by intense competition from rival AI labs that regularly release cutting-edge tools, forcing Anthropic to prioritize staying competitive This represents a significant shift from the company's core safety commitments as it balances safety concerns against market pressures The policy modification is separate from Anthropic's ongoing dispute with the Defense Department regarding the use of its Claude AI tools</w:t>
            </w:r>
          </w:p>
        </w:tc>
      </w:tr>
      <w:tr>
        <w:tc>
          <w:tcPr>
            <w:tcW w:type="dxa" w:w="1440"/>
          </w:tcPr>
          <w:p>
            <w:r>
              <w:rPr>
                <w:sz w:val="20"/>
              </w:rPr>
              <w:t>2026-02-25</w:t>
            </w:r>
          </w:p>
        </w:tc>
        <w:tc>
          <w:tcPr>
            <w:tcW w:type="dxa" w:w="8640"/>
          </w:tcPr>
          <w:p>
            <w:hyperlink r:id="rId11">
              <w:r>
                <w:rPr>
                  <w:color w:val="0563C1"/>
                  <w:u w:val="single"/>
                </w:rPr>
                <w:t>Kilo launches KiloClaw, allowing anyone to deploy OpenClaw agents in production in 60 seconds (10 minute read)</w:t>
              </w:r>
            </w:hyperlink>
            <w:r>
              <w:br/>
              <w:br/>
            </w:r>
            <w:r>
              <w:rPr>
                <w:b/>
                <w:sz w:val="20"/>
              </w:rPr>
              <w:t>Kilo推出了KiloClaw</w:t>
            </w:r>
            <w:r>
              <w:rPr>
                <w:sz w:val="20"/>
              </w:rPr>
              <w:t>，这是一项完全托管的服务，用户可在60秒内将OpenClaw AI智能体部署到生产环境，无需进行复杂的基础设施设置，而这在之前是这个拥有16.1万星标的热门GitHub项目所必需的。</w:t>
            </w:r>
            <w:r>
              <w:rPr>
                <w:b/>
                <w:sz w:val="20"/>
              </w:rPr>
              <w:t>该服务运行在Fly.io的多租户虚拟机上</w:t>
            </w:r>
            <w:r>
              <w:rPr>
                <w:sz w:val="20"/>
              </w:rPr>
              <w:t>，具备内置安全性、监控和"始终在线"功能，解决了常见的"凌晨3点崩溃"问题——本地托管的智能体会在夜间无人监管时停止运行。</w:t>
            </w:r>
            <w:r>
              <w:rPr>
                <w:b/>
                <w:sz w:val="20"/>
              </w:rPr>
              <w:t>KiloClaw与Kilo Gateway集成</w:t>
            </w:r>
            <w:r>
              <w:rPr>
                <w:sz w:val="20"/>
              </w:rPr>
              <w:t>，提供来自OpenAI、Google和Anthropic等供应商的500多个AI模型的访问权限，且无加价，允许用户根据任务需求和预算切换模型。</w:t>
            </w:r>
            <w:r>
              <w:rPr>
                <w:b/>
                <w:sz w:val="20"/>
              </w:rPr>
              <w:t>Kilo还发布了PinchBench</w:t>
            </w:r>
            <w:r>
              <w:rPr>
                <w:sz w:val="20"/>
              </w:rPr>
              <w:t>，这是一个开源基准测试工具，在23个真实世界的智能体任务（如邮件分类和研究）上评估AI模型，帮助开发者为其特定用例选择最优模型。</w:t>
            </w:r>
            <w:r>
              <w:br/>
              <w:br/>
            </w:r>
            <w:r>
              <w:rPr>
                <w:b/>
                <w:sz w:val="20"/>
              </w:rPr>
              <w:t>Kilo launched KiloClaw</w:t>
            </w:r>
            <w:r>
              <w:rPr>
                <w:sz w:val="20"/>
              </w:rPr>
              <w:t xml:space="preserve">, a fully managed service that enables users to deploy OpenClaw AI agents to production in under 60 seconds, eliminating complex infrastructure setup previously required for the popular GitHub project with 161,000 stars. </w:t>
            </w:r>
            <w:r>
              <w:rPr>
                <w:b/>
                <w:sz w:val="20"/>
              </w:rPr>
              <w:t>The service runs on Fly.io's multi-tenant VMs</w:t>
            </w:r>
            <w:r>
              <w:rPr>
                <w:sz w:val="20"/>
              </w:rPr>
              <w:t xml:space="preserve"> with built-in security, monitoring, and "always-on" capabilities, solving the common "3 am crash" problem where locally hosted agents would die overnight without supervision. </w:t>
            </w:r>
            <w:r>
              <w:rPr>
                <w:b/>
                <w:sz w:val="20"/>
              </w:rPr>
              <w:t>KiloClaw integrates with Kilo Gateway</w:t>
            </w:r>
            <w:r>
              <w:rPr>
                <w:sz w:val="20"/>
              </w:rPr>
              <w:t xml:space="preserve"> offering access to 500+ AI models from providers like OpenAI, Google, and Anthropic with zero markup pricing, allowing users to switch models based on task requirements and budget. </w:t>
            </w:r>
            <w:r>
              <w:rPr>
                <w:b/>
                <w:sz w:val="20"/>
              </w:rPr>
              <w:t>Kilo also released PinchBench</w:t>
            </w:r>
            <w:r>
              <w:rPr>
                <w:sz w:val="20"/>
              </w:rPr>
              <w:t>, an open-source benchmarking tool that evaluates AI models on 23 real-world agentic tasks like email sorting and research, helping developers choose optimal models for their specific use cases.</w:t>
            </w:r>
          </w:p>
        </w:tc>
      </w:tr>
      <w:tr>
        <w:tc>
          <w:tcPr>
            <w:tcW w:type="dxa" w:w="1440"/>
          </w:tcPr>
          <w:p>
            <w:r>
              <w:rPr>
                <w:sz w:val="20"/>
              </w:rPr>
              <w:t>2026-02-25</w:t>
            </w:r>
          </w:p>
        </w:tc>
        <w:tc>
          <w:tcPr>
            <w:tcW w:type="dxa" w:w="8640"/>
          </w:tcPr>
          <w:p>
            <w:hyperlink r:id="rId12">
              <w:r>
                <w:rPr>
                  <w:color w:val="0563C1"/>
                  <w:u w:val="single"/>
                </w:rPr>
                <w:t>How AI-Enabled Startups Are Moving Faster — and Rewriting the VC Playbook (6 minute read)</w:t>
              </w:r>
            </w:hyperlink>
            <w:r>
              <w:br/>
              <w:br/>
            </w:r>
            <w:r>
              <w:rPr>
                <w:b/>
                <w:sz w:val="20"/>
              </w:rPr>
              <w:t>AI驱动的初创公司正在成为高生产力的"硅谷小企业"</w:t>
            </w:r>
            <w:r>
              <w:rPr>
                <w:sz w:val="20"/>
              </w:rPr>
              <w:t>，它们将AI作为力量倍增器，更快地推出产品，更积极地迭代，并在数月而非数年内实现有意义的收入。</w:t>
            </w:r>
            <w:r>
              <w:rPr>
                <w:b/>
                <w:sz w:val="20"/>
              </w:rPr>
              <w:t>这些AI原生公司正在挑战传统的风险投资模式</w:t>
            </w:r>
            <w:r>
              <w:rPr>
                <w:sz w:val="20"/>
              </w:rPr>
              <w:t>，它们具有极高的杠杆效应，但所需资本却远少于风投行业历史上所围绕的资本量。</w:t>
            </w:r>
            <w:r>
              <w:rPr>
                <w:b/>
                <w:sz w:val="20"/>
              </w:rPr>
              <w:t>传统的初创公司融资路径变得更加困难</w:t>
            </w:r>
            <w:r>
              <w:rPr>
                <w:sz w:val="20"/>
              </w:rPr>
              <w:t>，曾经从种子前轮到A轮的线性发展（通过构建产品、达到100万美元年度经常性收入并进行连续融资）现在面临更多挑战。</w:t>
            </w:r>
            <w:r>
              <w:rPr>
                <w:b/>
                <w:sz w:val="20"/>
              </w:rPr>
              <w:t>一小群AI原生的异常公司正在重塑投资者预期</w:t>
            </w:r>
            <w:r>
              <w:rPr>
                <w:sz w:val="20"/>
              </w:rPr>
              <w:t>，由于其在最低资本要求下的卓越生产力，对既定的风投实践施加了无声但深刻的压力。</w:t>
            </w:r>
            <w:r>
              <w:br/>
              <w:br/>
            </w:r>
            <w:r>
              <w:rPr>
                <w:b/>
                <w:sz w:val="20"/>
              </w:rPr>
              <w:t>AI-enabled startups are emerging as highly productive "Silicon Valley small businesses"</w:t>
            </w:r>
            <w:r>
              <w:rPr>
                <w:sz w:val="20"/>
              </w:rPr>
              <w:t xml:space="preserve"> that use AI as a force multiplier to ship products faster, iterate more aggressively, and achieve meaningful revenue in months rather than years </w:t>
            </w:r>
            <w:r>
              <w:rPr>
                <w:b/>
                <w:sz w:val="20"/>
              </w:rPr>
              <w:t>These AI-native companies are challenging traditional venture capital models</w:t>
            </w:r>
            <w:r>
              <w:rPr>
                <w:sz w:val="20"/>
              </w:rPr>
              <w:t xml:space="preserve"> by being extremely leveraged yet requiring significantly less capital than what the VC industry was historically built around </w:t>
            </w:r>
            <w:r>
              <w:rPr>
                <w:b/>
                <w:sz w:val="20"/>
              </w:rPr>
              <w:t>The traditional startup funding pathway is becoming more difficult</w:t>
            </w:r>
            <w:r>
              <w:rPr>
                <w:sz w:val="20"/>
              </w:rPr>
              <w:t xml:space="preserve">, with the once-linear progression from Pre-Seed to Series A (through building products, hitting $1M ARR, and raising successive rounds) now facing increased challenges </w:t>
            </w:r>
            <w:r>
              <w:rPr>
                <w:b/>
                <w:sz w:val="20"/>
              </w:rPr>
              <w:t>A small group of AI-native outlier companies are reshaping investor expectations</w:t>
            </w:r>
            <w:r>
              <w:rPr>
                <w:sz w:val="20"/>
              </w:rPr>
              <w:t xml:space="preserve"> and putting quiet but profound pressure on established VC practices due to their exceptional productivity with minimal capital requirements</w:t>
            </w:r>
          </w:p>
        </w:tc>
      </w:tr>
      <w:tr>
        <w:tc>
          <w:tcPr>
            <w:tcW w:type="dxa" w:w="1440"/>
          </w:tcPr>
          <w:p>
            <w:r>
              <w:rPr>
                <w:sz w:val="20"/>
              </w:rPr>
              <w:t>2026-02-25</w:t>
            </w:r>
          </w:p>
        </w:tc>
        <w:tc>
          <w:tcPr>
            <w:tcW w:type="dxa" w:w="8640"/>
          </w:tcPr>
          <w:p>
            <w:hyperlink r:id="rId13">
              <w:r>
                <w:rPr>
                  <w:color w:val="0563C1"/>
                  <w:u w:val="single"/>
                </w:rPr>
                <w:t>Patterns Are the End of Product Analytics (5 minute read)</w:t>
              </w:r>
            </w:hyperlink>
            <w:r>
              <w:br/>
              <w:br/>
            </w:r>
            <w:r>
              <w:rPr>
                <w:sz w:val="20"/>
              </w:rPr>
              <w:t>传统的产品分析工具，专为线性用户旅程设计，具有明确的漏斗和页面点击跟踪功能，随着AI智能体和对话界面在多个渠道创造动态、碎片化的客户体验，这种工具正在变得过时。AI智能体通过支持实时对话正在根本性地改变品牌与消费者的互动方式，客户意图可能在对话中途发生转变，这使得基于事件的测量方法无法充分捕捉这些体验的真正有效性。企业必须从测量孤立事件转向分析跨渠道的行为模式，以了解不同客户群体如何导航产品，并识别哪些序列能够带来成功的结果。转向基于模式的分析使公司能够实时检测新兴趋势和摩擦点，专注于客户体验效率而非内部仪表板指标。</w:t>
            </w:r>
            <w:r>
              <w:br/>
              <w:br/>
            </w:r>
            <w:r>
              <w:rPr>
                <w:sz w:val="20"/>
              </w:rPr>
              <w:t>Traditional product analytics, built for linear user journeys with defined funnels and page clicks, is becoming obsolete as AI agents and conversational interfaces create dynamic, fragmented customer experiences across multiple channels AI agents are fundamentally changing brand-consumer interactions by enabling real-time conversations where customer intent can shift mid-stream, making event-based measurement inadequate for capturing the true effectiveness of these experiences Businesses must transition from measuring isolated events to analyzing behavioral patterns across channels to understand how different customer segments navigate products and identify which sequences lead to successful outcomes The shift to pattern-based analytics allows companies to detect emerging trends and friction points in real-time, focusing on customer experience efficiency rather than internal dashboard metrics</w:t>
            </w:r>
          </w:p>
        </w:tc>
      </w:tr>
      <w:tr>
        <w:tc>
          <w:tcPr>
            <w:tcW w:type="dxa" w:w="1440"/>
          </w:tcPr>
          <w:p>
            <w:r>
              <w:rPr>
                <w:sz w:val="20"/>
              </w:rPr>
              <w:t>2026-02-25</w:t>
            </w:r>
          </w:p>
        </w:tc>
        <w:tc>
          <w:tcPr>
            <w:tcW w:type="dxa" w:w="8640"/>
          </w:tcPr>
          <w:p>
            <w:hyperlink r:id="rId14">
              <w:r>
                <w:rPr>
                  <w:color w:val="0563C1"/>
                  <w:u w:val="single"/>
                </w:rPr>
                <w:t>Why AI moats still matter (and how they've changed) (52 minute read)</w:t>
              </w:r>
            </w:hyperlink>
            <w:r>
              <w:br/>
              <w:br/>
            </w:r>
            <w:r>
              <w:rPr>
                <w:b/>
                <w:sz w:val="20"/>
              </w:rPr>
              <w:t>AI提供差异化但不提供防御性</w:t>
            </w:r>
            <w:r>
              <w:rPr>
                <w:sz w:val="20"/>
              </w:rPr>
              <w:t>：虽然多语言语音代理等AI能力提供了显著的竞争优势，但"AI特性"本身并不能创造持久的护城河——真正的防御性仍然来自于拥有端到端工作流程、成为记录系统以及深度客户嵌入。</w:t>
            </w:r>
            <w:r>
              <w:rPr>
                <w:b/>
                <w:sz w:val="20"/>
              </w:rPr>
              <w:t>市场机会从IT支出转向劳动力替代</w:t>
            </w:r>
            <w:r>
              <w:rPr>
                <w:sz w:val="20"/>
              </w:rPr>
              <w:t>：与以往的软件周期不同，AI驱动的软件实际上可以执行工作而不仅仅是促进工作，将可寻址市场从传统IT预算扩展到整个劳动力成本。</w:t>
            </w:r>
            <w:r>
              <w:rPr>
                <w:b/>
                <w:sz w:val="20"/>
              </w:rPr>
              <w:t>规模对于展示护城河仍然至关重要</w:t>
            </w:r>
            <w:r>
              <w:rPr>
                <w:sz w:val="20"/>
              </w:rPr>
              <w:t>：数据网络效应和其他防御优势只有在超大规模（数十亿次交互而非数千次）时才会变得明显，这创造了一个挑战：许多竞争对手在早期可能看起来都很有前景，但很少能够达到可防御的规模。</w:t>
            </w:r>
            <w:r>
              <w:rPr>
                <w:b/>
                <w:sz w:val="20"/>
              </w:rPr>
              <w:t>传统软件定价模式面临压力</w:t>
            </w:r>
            <w:r>
              <w:rPr>
                <w:sz w:val="20"/>
              </w:rPr>
              <w:t>：企业软件公司面临双重风险：按席位销售减少（因为AI减少了人员需求）和竞争加剧（因为AI降低了构建软件的门槛），尽管现有厂商可能受益于基于结果的定价和复制完整功能集的复杂性。</w:t>
            </w:r>
            <w:r>
              <w:br/>
              <w:br/>
            </w:r>
            <w:r>
              <w:rPr>
                <w:b/>
                <w:sz w:val="20"/>
              </w:rPr>
              <w:t>AI provides differentiation but not defensibility</w:t>
            </w:r>
            <w:r>
              <w:rPr>
                <w:sz w:val="20"/>
              </w:rPr>
              <w:t xml:space="preserve">: While AI capabilities like multilingual voice agents offer significant competitive advantages, the "AI-ness" itself doesn't create lasting moats - true defensibility still comes from owning end-to-end workflows, becoming systems of record, and deep customer embedding. </w:t>
            </w:r>
            <w:r>
              <w:rPr>
                <w:b/>
                <w:sz w:val="20"/>
              </w:rPr>
              <w:t>Market opportunity shifts from IT spend to labor replacement</w:t>
            </w:r>
            <w:r>
              <w:rPr>
                <w:sz w:val="20"/>
              </w:rPr>
              <w:t xml:space="preserve">: Unlike previous software cycles, AI-powered software can actually perform the work rather than just facilitate it, expanding the addressable market from traditional IT budgets to entire labor costs. </w:t>
            </w:r>
            <w:r>
              <w:rPr>
                <w:b/>
                <w:sz w:val="20"/>
              </w:rPr>
              <w:t>Scale remains crucial for demonstrating moats</w:t>
            </w:r>
            <w:r>
              <w:rPr>
                <w:sz w:val="20"/>
              </w:rPr>
              <w:t xml:space="preserve">: Data network effects and other defensive advantages only become apparent at mega-scale (billions of interactions vs. thousands), creating a challenge where many competitors can appear viable early on but few can reach defensible scale. </w:t>
            </w:r>
            <w:r>
              <w:rPr>
                <w:b/>
                <w:sz w:val="20"/>
              </w:rPr>
              <w:t>Traditional software pricing models under pressure</w:t>
            </w:r>
            <w:r>
              <w:rPr>
                <w:sz w:val="20"/>
              </w:rPr>
              <w:t>: Enterprise software companies face dual risks of reduced per-seat sales (as AI reduces headcount needs) and increased competition (as AI lowers barriers to building software), though incumbents may benefit from outcome-based pricing and the complexity of replicating full feature sets.</w:t>
            </w:r>
          </w:p>
        </w:tc>
      </w:tr>
      <w:tr>
        <w:tc>
          <w:tcPr>
            <w:tcW w:type="dxa" w:w="1440"/>
          </w:tcPr>
          <w:p>
            <w:r>
              <w:rPr>
                <w:sz w:val="20"/>
              </w:rPr>
              <w:t>2026-02-25</w:t>
            </w:r>
          </w:p>
        </w:tc>
        <w:tc>
          <w:tcPr>
            <w:tcW w:type="dxa" w:w="8640"/>
          </w:tcPr>
          <w:p>
            <w:hyperlink r:id="rId15">
              <w:r>
                <w:rPr>
                  <w:color w:val="0563C1"/>
                  <w:u w:val="single"/>
                </w:rPr>
                <w:t>Pentagon Gives Anthropic Ultimatum and Deadline in AI Use Standoff (5 minute read)</w:t>
              </w:r>
            </w:hyperlink>
            <w:r>
              <w:br/>
              <w:br/>
            </w:r>
            <w:r>
              <w:rPr>
                <w:sz w:val="20"/>
              </w:rPr>
              <w:t>五角大楼要求Anthropic公司在周五前允许其AI模型用于所有合法的军事目的，包括大规模国内监控和自主武器开发。Anthropic目前禁止其AI技术的这些特定用途，与国防部形成对峙局面。国防部长皮特·赫格塞斯威胁取消Anthropic的合同，将该公司指定为供应链风险，或援引《国防生产法》强制其遵守。供应链风险指定将要求所有五角大楼承包商证明他们在军事工作中不使用Anthropic的AI模型。</w:t>
            </w:r>
            <w:r>
              <w:br/>
              <w:br/>
            </w:r>
            <w:r>
              <w:rPr>
                <w:sz w:val="20"/>
              </w:rPr>
              <w:t>Pentagon has given Anthropic until Friday to allow its AI models to be used for all lawful military purposes, including mass domestic surveillance and autonomous weapons development Anthropic currently prohibits these specific uses of its AI technology, creating a standoff with the Department of Defense Defense Secretary Pete Hegseth threatens to cancel Anthropic's contract, designate the company as a supply-chain risk, or invoke the Defense Production Act to force compliance A supply-chain risk designation would require all Pentagon contractors to certify they don't use Anthropic's AI models in military work</w:t>
            </w:r>
          </w:p>
        </w:tc>
      </w:tr>
      <w:tr>
        <w:tc>
          <w:tcPr>
            <w:tcW w:type="dxa" w:w="1440"/>
          </w:tcPr>
          <w:p>
            <w:r>
              <w:rPr>
                <w:sz w:val="20"/>
              </w:rPr>
              <w:t>2026-02-25</w:t>
            </w:r>
          </w:p>
        </w:tc>
        <w:tc>
          <w:tcPr>
            <w:tcW w:type="dxa" w:w="8640"/>
          </w:tcPr>
          <w:p>
            <w:hyperlink r:id="rId16">
              <w:r>
                <w:rPr>
                  <w:color w:val="0563C1"/>
                  <w:u w:val="single"/>
                </w:rPr>
                <w:t>Meta and AMD Agree to AI Chips Deal Worth More Than $100 Billion (4 minute read)</w:t>
              </w:r>
            </w:hyperlink>
            <w:r>
              <w:br/>
              <w:br/>
            </w:r>
            <w:r>
              <w:rPr>
                <w:sz w:val="20"/>
              </w:rPr>
              <w:t>Meta同意以超过1000亿美元的价格从AMD购买6千兆瓦的AI计算能力，这代表着从solely依赖英伟达芯片的重大转变。作为协议的一部分，如果达到某些里程碑，AMD将向Meta提供以每股0.01美元购买最多1.6亿股AMD股票（约占公司10%）的认股权证。Meta同时在一项单独的数十亿美元交易中购买数百万块英伟达GPU，表明该公司大规模的AI基础设施扩张计划。这些交易支持Meta在本十年内部署数十千兆瓦数据中心计算能力的目标，未来计划达到数百千兆瓦。</w:t>
            </w:r>
            <w:r>
              <w:br/>
              <w:br/>
            </w:r>
            <w:r>
              <w:rPr>
                <w:sz w:val="20"/>
              </w:rPr>
              <w:t>Meta agreed to purchase 6 gigawatts of AI computing power from AMD in a deal worth over $100 billion, representing a major shift away from relying solely on Nvidia chips As part of the agreement, AMD will provide Meta with warrants to buy up to 160 million AMD shares (approximately 10% of the company) for $0.01 each if certain milestones are achieved Meta is simultaneously buying several million Nvidia GPUs in a separate multi-billion dollar deal, indicating the company's massive AI infrastructure expansion plans The deals support Meta's goal to deploy tens of gigawatts of data center computing power this decade, with plans for hundreds of gigawatts in the future</w:t>
            </w:r>
          </w:p>
        </w:tc>
      </w:tr>
      <w:tr>
        <w:tc>
          <w:tcPr>
            <w:tcW w:type="dxa" w:w="1440"/>
          </w:tcPr>
          <w:p>
            <w:r>
              <w:rPr>
                <w:sz w:val="20"/>
              </w:rPr>
              <w:t>2026-02-25</w:t>
            </w:r>
          </w:p>
        </w:tc>
        <w:tc>
          <w:tcPr>
            <w:tcW w:type="dxa" w:w="8640"/>
          </w:tcPr>
          <w:p>
            <w:hyperlink r:id="rId17">
              <w:r>
                <w:rPr>
                  <w:color w:val="0563C1"/>
                  <w:u w:val="single"/>
                </w:rPr>
                <w:t>PayPal pops nearly 7% on report fintech startup Stripe is weighing an acquisition (3 minute read)</w:t>
              </w:r>
            </w:hyperlink>
            <w:r>
              <w:br/>
              <w:br/>
            </w:r>
            <w:r>
              <w:rPr>
                <w:sz w:val="20"/>
              </w:rPr>
              <w:t>金融科技初创公司Stripe据报正在早期讨论中，可能收购PayPal全部或部分业务，推动PayPal股价上涨近7% PayPal一直在与增长放缓和竞争加剧作斗争，其股价今年下跌超过19%，2025年下跌近三分之一 Stripe在二级股票销售后估值跃升至1590亿美元，高于一年前的915亿美元，使其成为最有价值的私人公司之一 这一潜在收购发生在PayPal在竞争激烈的数字支付市场面临日益增长的压力，并在财务表现乏善可陈的情况下最近任命了新CEO之际</w:t>
            </w:r>
            <w:r>
              <w:br/>
              <w:br/>
            </w:r>
            <w:r>
              <w:rPr>
                <w:sz w:val="20"/>
              </w:rPr>
              <w:t>Fintech startup Stripe is reportedly in early discussions to potentially acquire all or some segments of PayPal's business, driving PayPal's stock up nearly 7% PayPal has been struggling with slowing growth and increased competition, with its stock falling over 19% this year and nearly a third in 2025 Stripe's valuation jumped to $159 billion following a secondary stock sale, up from $91.5 billion a year ago, while positioning itself as one of the most valuable private companies The potential acquisition comes as PayPal faces mounting pressure in the competitive digital payments market and recently appointed a new CEO amid lackluster financial performance</w:t>
            </w:r>
          </w:p>
        </w:tc>
      </w:tr>
      <w:tr>
        <w:tc>
          <w:tcPr>
            <w:tcW w:type="dxa" w:w="1440"/>
          </w:tcPr>
          <w:p>
            <w:r>
              <w:rPr>
                <w:sz w:val="20"/>
              </w:rPr>
              <w:t>2026-02-25</w:t>
            </w:r>
          </w:p>
        </w:tc>
        <w:tc>
          <w:tcPr>
            <w:tcW w:type="dxa" w:w="8640"/>
          </w:tcPr>
          <w:p>
            <w:hyperlink r:id="rId18">
              <w:r>
                <w:rPr>
                  <w:color w:val="0563C1"/>
                  <w:u w:val="single"/>
                </w:rPr>
                <w:t>Tech Firms Aren't Just Encouraging Their Workers to Use AI. They're Enforcing It (8 minute read)</w:t>
              </w:r>
            </w:hyperlink>
            <w:r>
              <w:br/>
              <w:br/>
            </w:r>
            <w:r>
              <w:rPr>
                <w:sz w:val="20"/>
              </w:rPr>
              <w:t>科技公司现在正在跟踪员工使用AI工具的情况，并将其纳入绩效评估中，一些职位在招聘时要求展示AI熟练程度。尽管面临雇主压力，科技工作者对AI实际节省时间的好处和生产力提升仍持怀疑态度。工作者面临着一个悖论：被迫采用他们担心最终可能取代自己工作的技术。这一转变代表着从仅仅鼓励采用AI转向积极将其作为工作要求来执行。</w:t>
            </w:r>
            <w:r>
              <w:br/>
              <w:br/>
            </w:r>
            <w:r>
              <w:rPr>
                <w:sz w:val="20"/>
              </w:rPr>
              <w:t>Tech companies are now tracking employees' AI tool usage and incorporating it into performance reviews, with some positions requiring demonstrated AI fluency for hiring Despite employer pressure, tech workers remain skeptical about AI's actual time-saving benefits and productivity gains Workers face the paradox of being forced to adopt technology they fear may eventually replace them in their jobs This shift represents a move from merely encouraging AI adoption to actively enforcing it as a job requirement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acking.tldrnewsletter.com/CL0/https:%2F%2Fwww.cnbc.com%2F2026%2F02%2F24%2Fanthropic-claude-cowork-office-worker.html%3Futm_source=tldrai/1/0100019c9528350f-37088da4-9a17-49c1-a8bf-f45e1354bba5-000000/EbIjpQTjWLV5nxHV7xE3f8Mo18g7h04fGWYAHSjNLsM=446" TargetMode="External"/><Relationship Id="rId10" Type="http://schemas.openxmlformats.org/officeDocument/2006/relationships/hyperlink" Target="https://tracking.tldrnewsletter.com/CL0/https:%2F%2Flinks.tldrnewsletter.com%2Fd4aFoE/1/0100019c9528350f-37088da4-9a17-49c1-a8bf-f45e1354bba5-000000/FHSgW0nWYYeA7vTb-9EUFZpm1VNt8gXZUuRM-TI7ai4=446" TargetMode="External"/><Relationship Id="rId11" Type="http://schemas.openxmlformats.org/officeDocument/2006/relationships/hyperlink" Target="https://tracking.tldrnewsletter.com/CL0/https:%2F%2Fventurebeat.com%2Forchestration%2Fkilo-launches-kiloclaw-allowing-anyone-to-deploy-hosted-openclaw-agents-into%3Futm_source=tldrai/1/0100019c9528350f-37088da4-9a17-49c1-a8bf-f45e1354bba5-000000/EKKIfH9SQawi5mn4ZNNlzzzpAiM7rEBDQCDHAZipSlI=446" TargetMode="External"/><Relationship Id="rId12" Type="http://schemas.openxmlformats.org/officeDocument/2006/relationships/hyperlink" Target="https://tracking.tldrnewsletter.com/CL0/https:%2F%2Fandybudd.com%2Farchives%2F2026%2F02%2Fhow-ai-enabled-startups-are-moving-faster-and-rewriting-the-vc-playbook%3Futm_source=tldrfounders/1/0100019c94ebf953-589d30b1-8072-49d4-8ecc-55955f1100cf-000000/eNgIs7_B-H0vq7gROEAHXfYuOQCr8gWMxVvIbP_TrZM=446" TargetMode="External"/><Relationship Id="rId13" Type="http://schemas.openxmlformats.org/officeDocument/2006/relationships/hyperlink" Target="https://tracking.tldrnewsletter.com/CL0/https:%2F%2Fwww.conviva.ai%2Fresource%2Fpatterns-are-the-end-of-product-analytics%2F%3Futm_source=tldrfounders/1/0100019c94ebf953-589d30b1-8072-49d4-8ecc-55955f1100cf-000000/mo_V7WqthKbTKOhT5mKONJSAsvDcnWTXY-bH8hkyZ0A=446" TargetMode="External"/><Relationship Id="rId14" Type="http://schemas.openxmlformats.org/officeDocument/2006/relationships/hyperlink" Target="https://tracking.tldrnewsletter.com/CL0/https:%2F%2Fwww.a16z.news%2Fp%2Fdavid-haber-and-alex-rampell%3Futm_source=tldrfounders/1/0100019c94ebf953-589d30b1-8072-49d4-8ecc-55955f1100cf-000000/GBwn4040TkCyJ6gmqG9pnRdo9mshr8n4Pdahtzib_bc=446" TargetMode="External"/><Relationship Id="rId15" Type="http://schemas.openxmlformats.org/officeDocument/2006/relationships/hyperlink" Target="https://tracking.tldrnewsletter.com/CL0/https:%2F%2Flinks.tldrnewsletter.com%2Fyjjfgo/1/0100019c94a985da-cca9cdc0-3425-421a-b933-20def3b737b9-000000/Rk8GYe9Ph09hQHGK-Ku1-GECcVYhiuMlp5Ac3qA2_Fg=446" TargetMode="External"/><Relationship Id="rId16" Type="http://schemas.openxmlformats.org/officeDocument/2006/relationships/hyperlink" Target="https://tracking.tldrnewsletter.com/CL0/https:%2F%2Flinks.tldrnewsletter.com%2FcsfM2i/1/0100019c94a985da-cca9cdc0-3425-421a-b933-20def3b737b9-000000/WKV-I2LSIls3iqw9aparzLW5sXZu_2NcF-VJEbjZmcU=446" TargetMode="External"/><Relationship Id="rId17" Type="http://schemas.openxmlformats.org/officeDocument/2006/relationships/hyperlink" Target="https://tracking.tldrnewsletter.com/CL0/https:%2F%2Fwww.cnbc.com%2F2026%2F02%2F24%2Fpaypal-stock-stripe-acquisition-report.html%3Futm_source=tldrnewsletter/1/0100019c94a985da-cca9cdc0-3425-421a-b933-20def3b737b9-000000/tqLrDN7UyKqaDOHiqRw9i7z9XQxz91vSHJVtKygitck=446" TargetMode="External"/><Relationship Id="rId18" Type="http://schemas.openxmlformats.org/officeDocument/2006/relationships/hyperlink" Target="https://tracking.tldrnewsletter.com/CL0/https:%2F%2Flinks.tldrnewsletter.com%2FWFfblW/1/0100019c94a985da-cca9cdc0-3425-421a-b933-20def3b737b9-000000/c85IUZf68pQ4cDd1l77vjfPWFxYAvyGM6bRCYCGJTUE=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