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消费科技新闻报告</w:t>
      </w:r>
    </w:p>
    <w:p>
      <w:pPr>
        <w:jc w:val="center"/>
      </w:pPr>
      <w:r>
        <w:rPr>
          <w:color w:val="808080"/>
          <w:sz w:val="26"/>
        </w:rPr>
        <w:t>2026-03-10 至 2026-03-23</w:t>
      </w:r>
    </w:p>
    <w:p>
      <w:r>
        <w:t>生成时间：2026-03-23 22:00</w:t>
      </w:r>
    </w:p>
    <w:p/>
    <w:p>
      <w:pPr>
        <w:pStyle w:val="Heading1"/>
        <w:jc w:val="left"/>
      </w:pPr>
      <w:r>
        <w:t>行业动态</w:t>
      </w:r>
    </w:p>
    <w:p>
      <w:pPr>
        <w:spacing w:before="200" w:after="40"/>
      </w:pPr>
      <w:hyperlink r:id="rId9">
        <w:r>
          <w:rPr>
            <w:b/>
            <w:color w:val="0563C1"/>
            <w:u w:val="single"/>
            <w:sz w:val="24"/>
          </w:rPr>
          <w:t>中国奢侈品市场格局改写：LV老铺爱马仕位列前三</w:t>
        </w:r>
      </w:hyperlink>
    </w:p>
    <w:p>
      <w:pPr>
        <w:spacing w:before="0" w:after="160"/>
      </w:pPr>
      <w:r>
        <w:rPr>
          <w:sz w:val="21"/>
        </w:rPr>
        <w:t>老铺黄金发布2025全年业绩，实现销售业绩313.7亿元，较2024年度增长220.3%，经调整净利润50.3亿元，同比增长234.9%。据弗若斯特沙利文统计，按2025年奢侈品集团在中国内地的整体收入排名，老铺黄金已位列第二，超越爱马仕，并逼近全球最大奢侈品集团LVMH。 老铺黄金凭借将古法工艺与现代奢华风格相融合的颠覆性创新，成功打破了此前由欧洲奢侈品巨头主导的市场格局。品牌在单商场销售规模和坪效表现均位列中国内地市场第一，消费者与路易威登、爱马仕等国际五大奢侈品牌的重合率达82.4%。这标志着中国本土品牌首次在奢侈品领域成为核心力量，改写了中国奢侈品市场传统格局，开启了以价值驱动为核心的全新消费时代。</w:t>
      </w:r>
    </w:p>
    <w:p>
      <w:pPr>
        <w:spacing w:before="200" w:after="40"/>
      </w:pPr>
      <w:hyperlink r:id="rId10">
        <w:r>
          <w:rPr>
            <w:b/>
            <w:color w:val="0563C1"/>
            <w:u w:val="single"/>
            <w:sz w:val="24"/>
          </w:rPr>
          <w:t>上海迪士尼度假区迎来十周年，14个重要时刻记录一场奇妙之旅</w:t>
        </w:r>
      </w:hyperlink>
    </w:p>
    <w:p>
      <w:pPr>
        <w:spacing w:before="0" w:after="160"/>
      </w:pPr>
      <w:r>
        <w:rPr>
          <w:sz w:val="21"/>
        </w:rPr>
        <w:t>上海迪士尼度假区正式迎来十周年庆典，自2016年6月16日开业以来，这家中国内地唯一的迪士尼主题乐园仍是国内最受欢迎的线下乐园。度假区于3月20日启动以"加你更奇妙"为主题的十周年庆典活动，推出全新娱乐演出"奇妙之心"城堡秀、友谊号特别巡游等内容，并推出400多款十周年主题消费品和限定餐饮体验。迪士尼持续加大对上海的投资力度，第三座主题酒店将于2025年结构封顶，第四座酒店也已在准备中，同时将新增大型迪士尼购物区。在IP版图方面，全球唯一的"疯狂动物城主题园区"之外，第九个主题园区"蜘蛛侠"主题园区已于2025年5月动工。这是迪士尼全球"加速增长"计划的体现，公司宣布未来10年投入约600亿美元用于全球体验部门扩张，2025财年资本支出达64.3亿美元。上海迪士尼的投资回报显著，国际乐园游客量同比增长6%主要由上海和香港两地带动，体验部门2025财年运营利润达100亿美元创历史新高。</w:t>
      </w:r>
    </w:p>
    <w:p/>
    <w:p>
      <w:pPr>
        <w:pStyle w:val="Heading1"/>
        <w:jc w:val="left"/>
      </w:pPr>
      <w:r>
        <w:t>融资新闻</w:t>
      </w:r>
    </w:p>
    <w:p>
      <w:r>
        <w:t>本期暂无融资新闻。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p.weixin.qq.com/s/PeolczCBcF92gOK4D2idQQ" TargetMode="External"/><Relationship Id="rId10" Type="http://schemas.openxmlformats.org/officeDocument/2006/relationships/hyperlink" Target="https://mp.weixin.qq.com/s/LaeL0SX037SjTrx7bdXJ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