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557EE4">
      <w:pPr>
        <w:pStyle w:val="2"/>
        <w:spacing w:before="240" w:after="120" w:line="276" w:lineRule="auto"/>
        <w:ind w:firstLine="0"/>
        <w:jc w:val="center"/>
      </w:pPr>
      <w:r>
        <w:rPr>
          <w:rFonts w:ascii="Times New Roman" w:hAnsi="Times New Roman" w:eastAsia="黑体"/>
          <w:b/>
          <w:bCs/>
          <w:color w:val="000000"/>
          <w:sz w:val="36"/>
          <w:szCs w:val="36"/>
        </w:rPr>
        <w:t>四旋翼无人机姿态控制系统设计优化用户手册（竞赛版）</w:t>
      </w:r>
    </w:p>
    <w:p w14:paraId="6D08AB50">
      <w:pPr>
        <w:spacing w:line="360" w:lineRule="auto"/>
        <w:ind w:firstLine="480"/>
      </w:pPr>
      <w:r>
        <w:rPr>
          <w:color w:val="000000"/>
        </w:rPr>
        <w:t>文档版本：V2.0（竞赛版）</w:t>
      </w:r>
    </w:p>
    <w:p w14:paraId="3D119AD2">
      <w:pPr>
        <w:spacing w:line="360" w:lineRule="auto"/>
        <w:ind w:firstLine="480"/>
      </w:pPr>
      <w:r>
        <w:rPr>
          <w:color w:val="000000"/>
        </w:rPr>
        <w:t>编制日期：2026年6月</w:t>
      </w:r>
    </w:p>
    <w:p w14:paraId="2E9ED9CB">
      <w:pPr>
        <w:spacing w:line="360" w:lineRule="auto"/>
        <w:ind w:firstLine="480"/>
      </w:pPr>
      <w:r>
        <w:rPr>
          <w:color w:val="000000"/>
        </w:rPr>
        <w:t>适用对象：竞赛委员会评审</w:t>
      </w:r>
    </w:p>
    <w:p w14:paraId="2F1F42ED">
      <w:pPr>
        <w:spacing w:line="360" w:lineRule="auto"/>
        <w:ind w:firstLine="480"/>
      </w:pPr>
      <w:r>
        <w:rPr>
          <w:color w:val="000000"/>
        </w:rPr>
        <w:t>课题名称：四旋翼无人机姿态控制系统设计优化</w:t>
      </w:r>
    </w:p>
    <w:p w14:paraId="516AA8B8">
      <w:pPr>
        <w:spacing w:line="360" w:lineRule="auto"/>
        <w:ind w:firstLine="480"/>
      </w:pPr>
      <w:r>
        <w:rPr>
          <w:color w:val="000000"/>
        </w:rPr>
        <w:t>竞赛：中国软件杯 A8</w:t>
      </w:r>
    </w:p>
    <w:p w14:paraId="6268E519">
      <w:pPr>
        <w:spacing w:line="360" w:lineRule="auto"/>
        <w:ind w:firstLine="480"/>
      </w:pPr>
      <w:r>
        <w:rPr>
          <w:color w:val="000000"/>
        </w:rPr>
        <w:t>团队成员：陈</w:t>
      </w:r>
      <w:r>
        <w:rPr>
          <w:rFonts w:hint="eastAsia"/>
          <w:color w:val="000000"/>
          <w:lang w:val="en-US" w:eastAsia="zh-CN"/>
        </w:rPr>
        <w:t>弋函</w:t>
      </w:r>
      <w:r>
        <w:rPr>
          <w:color w:val="000000"/>
        </w:rPr>
        <w:t>、郑</w:t>
      </w:r>
      <w:r>
        <w:rPr>
          <w:rFonts w:hint="eastAsia"/>
          <w:color w:val="000000"/>
          <w:lang w:val="en-US" w:eastAsia="zh-CN"/>
        </w:rPr>
        <w:t>皓</w:t>
      </w:r>
      <w:r>
        <w:rPr>
          <w:color w:val="000000"/>
        </w:rPr>
        <w:t>天、</w:t>
      </w:r>
      <w:r>
        <w:rPr>
          <w:rFonts w:hint="eastAsia"/>
          <w:color w:val="000000"/>
          <w:lang w:val="en-US" w:eastAsia="zh-CN"/>
        </w:rPr>
        <w:t>汪</w:t>
      </w:r>
      <w:r>
        <w:rPr>
          <w:color w:val="000000"/>
        </w:rPr>
        <w:t>德能</w:t>
      </w:r>
    </w:p>
    <w:p w14:paraId="193D5F58">
      <w:pPr>
        <w:spacing w:line="360" w:lineRule="auto"/>
        <w:ind w:firstLine="480"/>
      </w:pPr>
      <w:r>
        <w:rPr>
          <w:color w:val="000000"/>
        </w:rPr>
        <w:t>院校：西安交通大学城市学院</w:t>
      </w:r>
    </w:p>
    <w:p w14:paraId="1A6DCDE1">
      <w:pPr>
        <w:spacing w:line="360" w:lineRule="auto"/>
        <w:ind w:firstLine="480"/>
      </w:pPr>
      <w:r>
        <w:rPr>
          <w:color w:val="000000"/>
        </w:rPr>
        <w:t>指导老师：庞志成</w:t>
      </w:r>
    </w:p>
    <w:p w14:paraId="435C6D03">
      <w:pPr>
        <w:spacing w:line="360" w:lineRule="auto"/>
        <w:ind w:firstLine="480"/>
      </w:pPr>
      <w:r>
        <w:rPr>
          <w:color w:val="000000"/>
        </w:rPr>
        <w:t>平台：MWORKS Sysplorer 2026a</w:t>
      </w:r>
    </w:p>
    <w:p w14:paraId="684A6131">
      <w:pPr>
        <w:spacing w:line="360" w:lineRule="auto"/>
        <w:ind w:firstLine="480"/>
      </w:pPr>
      <w:r>
        <w:rPr>
          <w:color w:val="000000"/>
        </w:rPr>
        <w:t>版权声明：本作品的版权归作者所有。保留所有权利。</w:t>
      </w:r>
    </w:p>
    <w:p w14:paraId="516501D6">
      <w:pPr>
        <w:spacing w:line="360" w:lineRule="auto"/>
        <w:ind w:firstLine="480"/>
      </w:pPr>
      <w:r>
        <w:rPr>
          <w:color w:val="000000"/>
        </w:rPr>
        <w:t>修订历史：</w:t>
      </w:r>
    </w:p>
    <w:tbl>
      <w:tblPr>
        <w:tblStyle w:val="11"/>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23"/>
        <w:gridCol w:w="3023"/>
        <w:gridCol w:w="3024"/>
      </w:tblGrid>
      <w:tr w14:paraId="4347C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23"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54F10F1C">
            <w:pPr>
              <w:ind w:firstLine="0"/>
              <w:jc w:val="center"/>
            </w:pPr>
            <w:r>
              <w:rPr>
                <w:rFonts w:ascii="Times New Roman" w:hAnsi="Times New Roman" w:eastAsia="宋体"/>
                <w:b/>
                <w:bCs/>
                <w:color w:val="000000"/>
                <w:sz w:val="21"/>
                <w:szCs w:val="21"/>
              </w:rPr>
              <w:t>版本</w:t>
            </w:r>
          </w:p>
        </w:tc>
        <w:tc>
          <w:tcPr>
            <w:tcW w:w="3023"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7AF9038A">
            <w:pPr>
              <w:ind w:firstLine="0"/>
              <w:jc w:val="center"/>
            </w:pPr>
            <w:r>
              <w:rPr>
                <w:rFonts w:ascii="Times New Roman" w:hAnsi="Times New Roman" w:eastAsia="宋体"/>
                <w:b/>
                <w:bCs/>
                <w:color w:val="000000"/>
                <w:sz w:val="21"/>
                <w:szCs w:val="21"/>
              </w:rPr>
              <w:t>日期</w:t>
            </w:r>
          </w:p>
        </w:tc>
        <w:tc>
          <w:tcPr>
            <w:tcW w:w="3024"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0AFFE545">
            <w:pPr>
              <w:ind w:firstLine="0"/>
              <w:jc w:val="center"/>
            </w:pPr>
            <w:r>
              <w:rPr>
                <w:rFonts w:ascii="Times New Roman" w:hAnsi="Times New Roman" w:eastAsia="宋体"/>
                <w:b/>
                <w:bCs/>
                <w:color w:val="000000"/>
                <w:sz w:val="21"/>
                <w:szCs w:val="21"/>
              </w:rPr>
              <w:t>变更</w:t>
            </w:r>
          </w:p>
        </w:tc>
      </w:tr>
      <w:tr w14:paraId="4A313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097A989E">
            <w:pPr>
              <w:ind w:firstLine="0"/>
              <w:jc w:val="center"/>
            </w:pPr>
            <w:r>
              <w:rPr>
                <w:rFonts w:ascii="Times New Roman" w:hAnsi="Times New Roman" w:eastAsia="宋体"/>
                <w:b w:val="0"/>
                <w:bCs w:val="0"/>
                <w:color w:val="000000"/>
                <w:sz w:val="21"/>
                <w:szCs w:val="21"/>
              </w:rPr>
              <w:t>V1.0</w:t>
            </w:r>
          </w:p>
        </w:tc>
        <w:tc>
          <w:tcPr>
            <w:tcW w:w="3023" w:type="dxa"/>
            <w:tcBorders>
              <w:top w:val="nil"/>
              <w:left w:val="nil"/>
              <w:bottom w:val="nil"/>
              <w:right w:val="nil"/>
            </w:tcBorders>
            <w:shd w:val="clear" w:color="auto" w:fill="FFFFFF"/>
            <w:tcMar>
              <w:top w:w="80" w:type="dxa"/>
              <w:left w:w="120" w:type="dxa"/>
              <w:bottom w:w="80" w:type="dxa"/>
              <w:right w:w="120" w:type="dxa"/>
            </w:tcMar>
          </w:tcPr>
          <w:p w14:paraId="47FC7F2A">
            <w:pPr>
              <w:ind w:firstLine="0"/>
              <w:jc w:val="center"/>
            </w:pPr>
            <w:r>
              <w:rPr>
                <w:rFonts w:ascii="Times New Roman" w:hAnsi="Times New Roman" w:eastAsia="宋体"/>
                <w:b w:val="0"/>
                <w:bCs w:val="0"/>
                <w:color w:val="000000"/>
                <w:sz w:val="21"/>
                <w:szCs w:val="21"/>
              </w:rPr>
              <w:t>2026年6月1日</w:t>
            </w:r>
          </w:p>
        </w:tc>
        <w:tc>
          <w:tcPr>
            <w:tcW w:w="3024" w:type="dxa"/>
            <w:tcBorders>
              <w:top w:val="nil"/>
              <w:left w:val="nil"/>
              <w:bottom w:val="nil"/>
              <w:right w:val="nil"/>
            </w:tcBorders>
            <w:shd w:val="clear" w:color="auto" w:fill="FFFFFF"/>
            <w:tcMar>
              <w:top w:w="80" w:type="dxa"/>
              <w:left w:w="120" w:type="dxa"/>
              <w:bottom w:w="80" w:type="dxa"/>
              <w:right w:w="120" w:type="dxa"/>
            </w:tcMar>
          </w:tcPr>
          <w:p w14:paraId="3A4351AA">
            <w:pPr>
              <w:ind w:firstLine="0"/>
              <w:jc w:val="center"/>
            </w:pPr>
            <w:r>
              <w:rPr>
                <w:rFonts w:ascii="Times New Roman" w:hAnsi="Times New Roman" w:eastAsia="宋体"/>
                <w:b w:val="0"/>
                <w:bCs w:val="0"/>
                <w:color w:val="000000"/>
                <w:sz w:val="21"/>
                <w:szCs w:val="21"/>
              </w:rPr>
              <w:t>初始用户手册（模型再现与结果验证）</w:t>
            </w:r>
          </w:p>
        </w:tc>
      </w:tr>
      <w:tr w14:paraId="17168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single" w:color="000000" w:sz="12" w:space="0"/>
              <w:right w:val="nil"/>
            </w:tcBorders>
            <w:shd w:val="clear" w:color="auto" w:fill="FFFFFF"/>
            <w:tcMar>
              <w:top w:w="80" w:type="dxa"/>
              <w:left w:w="120" w:type="dxa"/>
              <w:bottom w:w="80" w:type="dxa"/>
              <w:right w:w="120" w:type="dxa"/>
            </w:tcMar>
          </w:tcPr>
          <w:p w14:paraId="5A12FE72">
            <w:pPr>
              <w:ind w:firstLine="0"/>
              <w:jc w:val="center"/>
            </w:pPr>
            <w:r>
              <w:rPr>
                <w:rFonts w:ascii="Times New Roman" w:hAnsi="Times New Roman" w:eastAsia="宋体"/>
                <w:b w:val="0"/>
                <w:bCs w:val="0"/>
                <w:color w:val="000000"/>
                <w:sz w:val="21"/>
                <w:szCs w:val="21"/>
              </w:rPr>
              <w:t>V2.0</w:t>
            </w:r>
          </w:p>
        </w:tc>
        <w:tc>
          <w:tcPr>
            <w:tcW w:w="3023" w:type="dxa"/>
            <w:tcBorders>
              <w:top w:val="nil"/>
              <w:left w:val="nil"/>
              <w:bottom w:val="single" w:color="000000" w:sz="12" w:space="0"/>
              <w:right w:val="nil"/>
            </w:tcBorders>
            <w:shd w:val="clear" w:color="auto" w:fill="FFFFFF"/>
            <w:tcMar>
              <w:top w:w="80" w:type="dxa"/>
              <w:left w:w="120" w:type="dxa"/>
              <w:bottom w:w="80" w:type="dxa"/>
              <w:right w:w="120" w:type="dxa"/>
            </w:tcMar>
          </w:tcPr>
          <w:p w14:paraId="6082CBF6">
            <w:pPr>
              <w:ind w:firstLine="0"/>
              <w:jc w:val="center"/>
            </w:pPr>
            <w:r>
              <w:rPr>
                <w:rFonts w:ascii="Times New Roman" w:hAnsi="Times New Roman" w:eastAsia="宋体"/>
                <w:b w:val="0"/>
                <w:bCs w:val="0"/>
                <w:color w:val="000000"/>
                <w:sz w:val="21"/>
                <w:szCs w:val="21"/>
              </w:rPr>
              <w:t>2026年6月15日</w:t>
            </w:r>
          </w:p>
        </w:tc>
        <w:tc>
          <w:tcPr>
            <w:tcW w:w="3024" w:type="dxa"/>
            <w:tcBorders>
              <w:top w:val="nil"/>
              <w:left w:val="nil"/>
              <w:bottom w:val="single" w:color="000000" w:sz="12" w:space="0"/>
              <w:right w:val="nil"/>
            </w:tcBorders>
            <w:shd w:val="clear" w:color="auto" w:fill="FFFFFF"/>
            <w:tcMar>
              <w:top w:w="80" w:type="dxa"/>
              <w:left w:w="120" w:type="dxa"/>
              <w:bottom w:w="80" w:type="dxa"/>
              <w:right w:w="120" w:type="dxa"/>
            </w:tcMar>
          </w:tcPr>
          <w:p w14:paraId="45429488">
            <w:pPr>
              <w:ind w:firstLine="0"/>
              <w:jc w:val="center"/>
            </w:pPr>
            <w:r>
              <w:rPr>
                <w:rFonts w:ascii="Times New Roman" w:hAnsi="Times New Roman" w:eastAsia="宋体"/>
                <w:b w:val="0"/>
                <w:bCs w:val="0"/>
                <w:color w:val="000000"/>
                <w:sz w:val="21"/>
                <w:szCs w:val="21"/>
              </w:rPr>
              <w:t>竞赛版：新增系统概述、控制算法细节、完整的性能指标、代码片段以及高级验证结果</w:t>
            </w:r>
          </w:p>
        </w:tc>
      </w:tr>
    </w:tbl>
    <w:p w14:paraId="1AF67FB0">
      <w:pPr>
        <w:spacing w:before="240" w:after="120" w:line="360" w:lineRule="auto"/>
        <w:ind w:firstLine="0"/>
        <w:jc w:val="center"/>
      </w:pPr>
      <w:r>
        <w:rPr>
          <w:rFonts w:ascii="Times New Roman" w:hAnsi="Times New Roman" w:eastAsia="黑体"/>
          <w:b/>
          <w:bCs/>
          <w:color w:val="000000"/>
          <w:sz w:val="28"/>
          <w:szCs w:val="28"/>
        </w:rPr>
        <w:t>摘要</w:t>
      </w:r>
    </w:p>
    <w:p w14:paraId="16CD6174">
      <w:pPr>
        <w:spacing w:line="360" w:lineRule="auto"/>
        <w:ind w:firstLine="480"/>
      </w:pPr>
      <w:r>
        <w:rPr>
          <w:color w:val="000000"/>
        </w:rPr>
        <w:t>本用户手册记录在 MWORKS Sysplorer 2026a 平台上复现本作品全部仿真模型与结果的操作流程。作品在爬升、螺旋爬升与8字航迹三类场景中，增强模型相对基线模型的路径均方根误差分别降低 17.16%、2.62% 与 13.47%，指标与仿真输出由同一次运行生成。需在此明确：本作品初赛版本中与 CBF/PPC/ERG 安全链、蒙特卡洛鲁棒性、多目标调参及多机编队相关的效果数据，均由离线脚本在已有仿真输出上事后处理得到，其中三处由硬编码系数生成、一处的计算方式与被测控制器无关；这些结论已在本次改版中全部作废，详见仿真报告第 5.2 节与第 6 章。本手册第 5 章仅保留可由交付仿真输出直接复算的指标，第 5.7 至 5.9 节改为说明原方法的失效原因与替代验证方案。真正接入控制回路的安全链模型见 06_Rework_SafetyChain/UAVSafetyChain.mo，该模型已在 MWORKS 上重跑：六个安全链模型的 15° 超限累计时长全部归零，螺旋爬升与8字航迹的路径 RMSE 相对增强模型分别变化 −1.52% 与 −0.84%、达到预注册判据，爬升场景为 +3.74%（0.228024 m 变为 0.236546 m），超出 3% 门槛，按未达标如实记录。</w:t>
      </w:r>
    </w:p>
    <w:p w14:paraId="729A0308">
      <w:pPr>
        <w:pStyle w:val="3"/>
        <w:spacing w:before="180" w:after="90" w:line="360" w:lineRule="auto"/>
        <w:ind w:firstLine="0"/>
        <w:jc w:val="left"/>
        <w:rPr>
          <w:rFonts w:ascii="Times New Roman" w:hAnsi="Times New Roman" w:eastAsia="黑体"/>
          <w:b/>
          <w:bCs/>
          <w:color w:val="000000"/>
          <w:sz w:val="30"/>
          <w:szCs w:val="30"/>
        </w:rPr>
      </w:pPr>
    </w:p>
    <w:p w14:paraId="7519048E">
      <w:pPr>
        <w:pStyle w:val="3"/>
        <w:spacing w:before="180" w:after="90" w:line="360" w:lineRule="auto"/>
        <w:ind w:firstLine="0"/>
        <w:jc w:val="left"/>
      </w:pPr>
      <w:r>
        <w:rPr>
          <w:rFonts w:ascii="Times New Roman" w:hAnsi="Times New Roman" w:eastAsia="黑体"/>
          <w:b/>
          <w:bCs/>
          <w:color w:val="000000"/>
          <w:sz w:val="30"/>
          <w:szCs w:val="30"/>
        </w:rPr>
        <w:t>1. 前言</w:t>
      </w:r>
    </w:p>
    <w:p w14:paraId="04C7D7F5">
      <w:pPr>
        <w:pStyle w:val="4"/>
        <w:spacing w:before="120" w:after="60" w:line="360" w:lineRule="auto"/>
        <w:ind w:firstLine="0"/>
        <w:jc w:val="left"/>
      </w:pPr>
      <w:r>
        <w:rPr>
          <w:rFonts w:ascii="Times New Roman" w:hAnsi="Times New Roman" w:eastAsia="黑体"/>
          <w:b/>
          <w:bCs/>
          <w:color w:val="000000"/>
          <w:sz w:val="24"/>
          <w:szCs w:val="24"/>
        </w:rPr>
        <w:t>1.1 目的</w:t>
      </w:r>
    </w:p>
    <w:p w14:paraId="16B5A0EA">
      <w:pPr>
        <w:spacing w:line="360" w:lineRule="auto"/>
        <w:ind w:firstLine="480"/>
      </w:pPr>
      <w:r>
        <w:rPr>
          <w:color w:val="000000"/>
        </w:rPr>
        <w:t>本用户手册是题为“四旋翼无人机姿态控制系统设计优化”的参赛作品的官方提交文件。本手册为竞赛委员会提供了全面的指导，用于加载、执行和验证交付包中包含的所有仿真模型及结果。</w:t>
      </w:r>
    </w:p>
    <w:p w14:paraId="31F7CED9">
      <w:pPr>
        <w:pStyle w:val="4"/>
        <w:spacing w:before="120" w:after="60" w:line="360" w:lineRule="auto"/>
        <w:ind w:firstLine="0"/>
        <w:jc w:val="left"/>
      </w:pPr>
      <w:r>
        <w:rPr>
          <w:rFonts w:ascii="Times New Roman" w:hAnsi="Times New Roman" w:eastAsia="黑体"/>
          <w:b/>
          <w:bCs/>
          <w:color w:val="000000"/>
          <w:sz w:val="24"/>
          <w:szCs w:val="24"/>
        </w:rPr>
        <w:t>1.2 范围</w:t>
      </w:r>
    </w:p>
    <w:p w14:paraId="3D10B995">
      <w:pPr>
        <w:spacing w:line="360" w:lineRule="auto"/>
        <w:ind w:firstLine="480"/>
      </w:pPr>
      <w:r>
        <w:rPr>
          <w:color w:val="000000"/>
        </w:rPr>
        <w:t>本手册涵盖了从软件环境配置到模型加载、仿真执行、结果解读及高级功能验证的完整工作流程。所有说明均旨在确保无需开发团队额外指导，即可独立重现报告中的性能指标。</w:t>
      </w:r>
    </w:p>
    <w:p w14:paraId="147D5A89">
      <w:pPr>
        <w:pStyle w:val="4"/>
        <w:spacing w:before="120" w:after="60" w:line="360" w:lineRule="auto"/>
        <w:ind w:firstLine="0"/>
        <w:jc w:val="left"/>
      </w:pPr>
      <w:r>
        <w:rPr>
          <w:rFonts w:ascii="Times New Roman" w:hAnsi="Times New Roman" w:eastAsia="黑体"/>
          <w:b/>
          <w:bCs/>
          <w:color w:val="000000"/>
          <w:sz w:val="24"/>
          <w:szCs w:val="24"/>
        </w:rPr>
        <w:t>1.3 版权声明</w:t>
      </w:r>
    </w:p>
    <w:p w14:paraId="1D193816">
      <w:pPr>
        <w:spacing w:line="360" w:lineRule="auto"/>
        <w:ind w:firstLine="480"/>
      </w:pPr>
      <w:r>
        <w:rPr>
          <w:color w:val="000000"/>
        </w:rPr>
        <w:t>本作品为上述团队成员的原创成果，并已注册版权保护。本作品提交给中国软件杯A8竞赛组委会以供评审。禁止未经授权的复制或传播。</w:t>
      </w:r>
    </w:p>
    <w:p w14:paraId="6CEBA051">
      <w:pPr>
        <w:pStyle w:val="4"/>
        <w:spacing w:before="120" w:after="60" w:line="360" w:lineRule="auto"/>
        <w:ind w:firstLine="0"/>
        <w:jc w:val="left"/>
      </w:pPr>
      <w:r>
        <w:rPr>
          <w:rFonts w:ascii="Times New Roman" w:hAnsi="Times New Roman" w:eastAsia="黑体"/>
          <w:b/>
          <w:bCs/>
          <w:color w:val="000000"/>
          <w:sz w:val="24"/>
          <w:szCs w:val="24"/>
        </w:rPr>
        <w:t>1.4 文档结构</w:t>
      </w:r>
    </w:p>
    <w:p w14:paraId="7219D84B">
      <w:pPr>
        <w:spacing w:line="360" w:lineRule="auto"/>
        <w:ind w:firstLine="480"/>
      </w:pPr>
      <w:r>
        <w:rPr>
          <w:color w:val="000000"/>
        </w:rPr>
        <w:t>本手册分为以下章节：第2章提供系统概述和架构说明；第3章详细说明文件结构和环境要求；第4章提供快速入门指南，以便快速复现；第5章记录所有仿真结果和性能指标；第6章提供详细的功能复现说明；第7章针对常见故障排除场景；第8章列出完整的技术参数参考。</w:t>
      </w:r>
    </w:p>
    <w:p w14:paraId="4F730F4D">
      <w:pPr>
        <w:pStyle w:val="3"/>
        <w:spacing w:before="180" w:after="90" w:line="360" w:lineRule="auto"/>
        <w:ind w:firstLine="0"/>
        <w:jc w:val="left"/>
      </w:pPr>
      <w:r>
        <w:rPr>
          <w:rFonts w:ascii="Times New Roman" w:hAnsi="Times New Roman" w:eastAsia="黑体"/>
          <w:b/>
          <w:bCs/>
          <w:color w:val="000000"/>
          <w:sz w:val="30"/>
          <w:szCs w:val="30"/>
        </w:rPr>
        <w:t>2. 系统概述</w:t>
      </w:r>
    </w:p>
    <w:p w14:paraId="3C459F65">
      <w:pPr>
        <w:pStyle w:val="4"/>
        <w:spacing w:before="120" w:after="60" w:line="360" w:lineRule="auto"/>
        <w:ind w:firstLine="0"/>
        <w:jc w:val="left"/>
      </w:pPr>
      <w:r>
        <w:rPr>
          <w:rFonts w:ascii="Times New Roman" w:hAnsi="Times New Roman" w:eastAsia="黑体"/>
          <w:b/>
          <w:bCs/>
          <w:color w:val="000000"/>
          <w:sz w:val="24"/>
          <w:szCs w:val="24"/>
        </w:rPr>
        <w:t>2.1 设计理念</w:t>
      </w:r>
    </w:p>
    <w:p w14:paraId="4BA30D6B">
      <w:pPr>
        <w:spacing w:line="360" w:lineRule="auto"/>
        <w:ind w:firstLine="480"/>
      </w:pPr>
      <w:r>
        <w:rPr>
          <w:color w:val="000000"/>
        </w:rPr>
        <w:t>该四旋翼无人机姿态控制系统基于五层分层架构构建，该架构实现了关注点的分离，并支持组件的模块化替换。该架构遵循“基础模型复用、结构控制器替换、多场景对比仿真及安全链补偿性验证”的原则。这种方法确保所有实验对比均基于相同的物理基础，从而使性能差异完全归因于控制算法的升级。</w:t>
      </w:r>
    </w:p>
    <w:p w14:paraId="5B2320B0">
      <w:pPr>
        <w:pStyle w:val="4"/>
        <w:spacing w:before="120" w:after="60" w:line="360" w:lineRule="auto"/>
        <w:ind w:firstLine="0"/>
        <w:jc w:val="left"/>
      </w:pPr>
      <w:r>
        <w:rPr>
          <w:rFonts w:ascii="Times New Roman" w:hAnsi="Times New Roman" w:eastAsia="黑体"/>
          <w:b/>
          <w:bCs/>
          <w:color w:val="000000"/>
          <w:sz w:val="24"/>
          <w:szCs w:val="24"/>
        </w:rPr>
        <w:t>2.2 五层架构</w:t>
      </w:r>
    </w:p>
    <w:p w14:paraId="3CBBA883">
      <w:pPr>
        <w:spacing w:line="360" w:lineRule="auto"/>
        <w:ind w:firstLine="480"/>
      </w:pPr>
      <w:r>
        <w:rPr>
          <w:color w:val="000000"/>
        </w:rPr>
        <w:t>该仿真系统由五个相互解耦的层组成，自下而上依次为：</w:t>
      </w:r>
    </w:p>
    <w:p w14:paraId="5229B2FD">
      <w:pPr>
        <w:spacing w:line="360" w:lineRule="auto"/>
        <w:ind w:firstLine="480"/>
      </w:pPr>
      <w:r>
        <w:rPr>
          <w:color w:val="000000"/>
        </w:rPr>
        <w:t>第 1 层——物理模型层：整个仿真系统的基石。该层承载完整的四旋翼无人机动力学模型（MoHub QuadrotorModel，model/2355），包括刚体动力学、旋翼推力模型、传感器变量和执行器模块。直接复用官方 MoHub 模型且不作任何修改，以确保所有实验中物理特性的客观性和统一性。 多领域建模方法遵循已确立的 Modelica 协同仿真规范</w:t>
      </w:r>
      <w:r>
        <w:rPr>
          <w:color w:val="000000"/>
          <w:vertAlign w:val="superscript"/>
        </w:rPr>
        <w:t>[3][9]</w:t>
      </w:r>
      <w:r>
        <w:rPr>
          <w:color w:val="000000"/>
        </w:rPr>
        <w:t xml:space="preserve"> 。</w:t>
      </w:r>
    </w:p>
    <w:p w14:paraId="21B270E5">
      <w:pPr>
        <w:spacing w:line="360" w:lineRule="auto"/>
        <w:ind w:firstLine="480"/>
      </w:pPr>
      <w:r>
        <w:rPr>
          <w:color w:val="000000"/>
        </w:rPr>
        <w:t>第 2 层——参考轨迹层：根据预设的飞行任务生成目标飞行位置和运动轨迹。实现了三种轨迹类型：垂直爬升（高度阶跃）、螺旋爬升（垂直与圆周运动同时进行）以及“8”字形（周期性变向轨迹）。</w:t>
      </w:r>
    </w:p>
    <w:p w14:paraId="3AD122D8">
      <w:pPr>
        <w:spacing w:line="360" w:lineRule="auto"/>
        <w:ind w:firstLine="480"/>
      </w:pPr>
      <w:r>
        <w:rPr>
          <w:color w:val="000000"/>
        </w:rPr>
        <w:t>第3层——控制器层：作为核心控制单元，实时比较实际飞行状态与参考轨迹，并计算控制输出以调节旋翼转速。基准模型采用标准PID控制，而增强型模型则在横向位置外环中采用HybridPIDSlidingMode复合滑模控制，高度和姿态内环为保持稳定性仍保留PID控制。</w:t>
      </w:r>
    </w:p>
    <w:p w14:paraId="24C9B161">
      <w:pPr>
        <w:spacing w:line="360" w:lineRule="auto"/>
        <w:ind w:firstLine="480"/>
      </w:pPr>
      <w:r>
        <w:rPr>
          <w:color w:val="000000"/>
        </w:rPr>
        <w:t>第4层——安全约束层：在整个仿真过程中监控飞行姿态和控制输出幅值。集成了四个安全模块：控制屏障函数（CBF）安全投影、规定性能控制（PPC）误差包络、显式参考调节器（ERG）参考调节以及姿态风险预警。这些模块共同从约束、调节和预测三个方面确保飞行安全。</w:t>
      </w:r>
    </w:p>
    <w:p w14:paraId="3C4D1452">
      <w:pPr>
        <w:spacing w:line="360" w:lineRule="auto"/>
        <w:ind w:firstLine="480"/>
      </w:pPr>
      <w:r>
        <w:rPr>
          <w:color w:val="000000"/>
        </w:rPr>
        <w:t>第5层——结果评估层：在仿真完成后自动计算性能指标，包括航迹均方根误差（RMSE）、平均误差、最大误差、阶跃超调、稳态时间以及姿态边界违规次数。</w:t>
      </w:r>
    </w:p>
    <w:p w14:paraId="7DF7F9E7">
      <w:pPr>
        <w:pStyle w:val="4"/>
        <w:spacing w:before="120" w:after="60" w:line="360" w:lineRule="auto"/>
        <w:ind w:firstLine="0"/>
        <w:jc w:val="left"/>
      </w:pPr>
      <w:r>
        <w:rPr>
          <w:rFonts w:ascii="Times New Roman" w:hAnsi="Times New Roman" w:eastAsia="黑体"/>
          <w:b/>
          <w:bCs/>
          <w:color w:val="000000"/>
          <w:sz w:val="24"/>
          <w:szCs w:val="24"/>
        </w:rPr>
        <w:t>2.3 关键创新</w:t>
      </w:r>
    </w:p>
    <w:p w14:paraId="392CBE35">
      <w:pPr>
        <w:spacing w:line="360" w:lineRule="auto"/>
        <w:ind w:firstLine="480"/>
      </w:pPr>
      <w:r>
        <w:rPr>
          <w:color w:val="000000"/>
        </w:rPr>
        <w:t>本作品的技术贡献有三项。第一，基于 Modelica 可替换/重新声明语法的控制器替换方案，无需修改底层动力学模型即可更换位置外环控制律。第二，对增强模型出现的姿态超限完成了定量溯源：六组仿真累计 220 秒飞行中的全部 15° 超限采样点，都落在参考轨迹不连续时刻之后 0.06 至 0.08 秒的窗口内；进一步的单轴与多轴对照表明，参考不连续是触发条件而非充分条件，超限伴随俯仰与横滚两路内环同时饱和以及混控层面的作动量集中。第三，把结论的可复算性做成方法约束：每条量化结论标明数据来源，需重新仿真方能给出的指标一律留空并预先写定判据。需要说明的是，初赛版本中“安全链在离线验证中消除所有姿态边界违规”的说法不成立——四个安全模块当时并未接入控制回路。</w:t>
      </w:r>
    </w:p>
    <w:p w14:paraId="2C5DE810">
      <w:pPr>
        <w:pStyle w:val="4"/>
        <w:spacing w:before="120" w:after="60" w:line="360" w:lineRule="auto"/>
        <w:ind w:firstLine="0"/>
        <w:jc w:val="left"/>
      </w:pPr>
      <w:r>
        <w:rPr>
          <w:rFonts w:ascii="Times New Roman" w:hAnsi="Times New Roman" w:eastAsia="黑体"/>
          <w:b/>
          <w:bCs/>
          <w:color w:val="000000"/>
          <w:sz w:val="24"/>
          <w:szCs w:val="24"/>
        </w:rPr>
        <w:t>2.4 控制算法设计</w:t>
      </w:r>
    </w:p>
    <w:p w14:paraId="69D63637">
      <w:pPr>
        <w:spacing w:line="360" w:lineRule="auto"/>
        <w:ind w:firstLine="480"/>
      </w:pPr>
      <w:r>
        <w:rPr>
          <w:color w:val="000000"/>
        </w:rPr>
        <w:t>就实际参数配置而言，滑模切换项的权重有限：切换增益 kSwitch=0.1，位置环输出限幅 uMax=2.1，切换项对输出的贡献上限约为 4.76%。增强模型相对基线的性能变化主要来自横向外环增益（KP 由 1.5 增至 2.0、KD 由 1.0 增至 1.35）与姿态内环增益（KP 由 14.142 增至 17.0、KD 由 1.414 增至 2.05）的调整，滑模项的作用是补充对匹配不确定性的鲁棒性，而非精度改善的主要来源</w:t>
      </w:r>
    </w:p>
    <w:p w14:paraId="76BA2A2E">
      <w:pPr>
        <w:spacing w:line="360" w:lineRule="auto"/>
        <w:ind w:firstLine="480"/>
      </w:pPr>
      <w:r>
        <w:rPr>
          <w:color w:val="000000"/>
        </w:rPr>
        <w:t>该复合滑模控制器在传统PID控制的基础上引入了滑面设计和不连续切换控制律。设横向位置误差为</w:t>
      </w:r>
      <m:oMath>
        <m:r>
          <m:rPr/>
          <m:t>e=</m:t>
        </m:r>
        <m:sSub>
          <m:sSubPr/>
          <m:e>
            <m:r>
              <m:rPr/>
              <m:t>x</m:t>
            </m:r>
          </m:e>
          <m:sub>
            <m:r>
              <m:rPr/>
              <m:t>ref</m:t>
            </m:r>
          </m:sub>
        </m:sSub>
        <m:r>
          <m:rPr/>
          <m:t>−x</m:t>
        </m:r>
      </m:oMath>
      <w:r>
        <w:rPr>
          <w:color w:val="000000"/>
        </w:rPr>
        <w:t xml:space="preserve"> ，并将滑面定义为：</w:t>
      </w:r>
    </w:p>
    <w:tbl>
      <w:tblPr>
        <w:tblStyle w:val="11"/>
        <w:tblW w:w="907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567"/>
        <w:gridCol w:w="7403"/>
        <w:gridCol w:w="1100"/>
      </w:tblGrid>
      <w:tr w14:paraId="5621E18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567" w:type="dxa"/>
            <w:tcBorders>
              <w:top w:val="nil"/>
              <w:left w:val="nil"/>
              <w:bottom w:val="nil"/>
              <w:right w:val="nil"/>
            </w:tcBorders>
            <w:vAlign w:val="center"/>
          </w:tcPr>
          <w:p w14:paraId="29DCEFA7">
            <w:pPr>
              <w:ind w:firstLine="0"/>
            </w:pPr>
          </w:p>
        </w:tc>
        <w:tc>
          <w:tcPr>
            <w:tcW w:w="7403" w:type="dxa"/>
            <w:tcBorders>
              <w:top w:val="nil"/>
              <w:left w:val="nil"/>
              <w:bottom w:val="nil"/>
              <w:right w:val="nil"/>
            </w:tcBorders>
            <w:vAlign w:val="center"/>
          </w:tcPr>
          <w:p w14:paraId="3B29F040">
            <w:pPr>
              <w:ind w:firstLine="0"/>
              <w:jc w:val="center"/>
            </w:pPr>
            <m:oMathPara>
              <m:oMath>
                <m:r>
                  <m:rPr/>
                  <m:t>s=e˙+λe</m:t>
                </m:r>
              </m:oMath>
            </m:oMathPara>
          </w:p>
        </w:tc>
        <w:tc>
          <w:tcPr>
            <w:tcW w:w="1100" w:type="dxa"/>
            <w:tcBorders>
              <w:top w:val="nil"/>
              <w:left w:val="nil"/>
              <w:bottom w:val="nil"/>
              <w:right w:val="nil"/>
            </w:tcBorders>
            <w:vAlign w:val="center"/>
          </w:tcPr>
          <w:p w14:paraId="1EDA76E1">
            <w:pPr>
              <w:ind w:firstLine="0"/>
              <w:jc w:val="right"/>
            </w:pPr>
            <w:r>
              <w:rPr>
                <w:rFonts w:ascii="Times New Roman" w:hAnsi="Times New Roman" w:eastAsia="宋体"/>
                <w:color w:val="000000"/>
                <w:sz w:val="24"/>
                <w:szCs w:val="24"/>
              </w:rPr>
              <w:t>(1)</w:t>
            </w:r>
          </w:p>
        </w:tc>
      </w:tr>
    </w:tbl>
    <w:p w14:paraId="63787DF2">
      <w:pPr>
        <w:spacing w:line="360" w:lineRule="auto"/>
        <w:ind w:firstLine="480"/>
      </w:pPr>
      <w:r>
        <w:rPr>
          <w:color w:val="000000"/>
        </w:rPr>
        <w:t>其中</w:t>
      </w:r>
      <m:oMath>
        <m:r>
          <m:rPr/>
          <m:t>λ&gt;0</m:t>
        </m:r>
      </m:oMath>
      <w:r>
        <w:rPr>
          <w:color w:val="000000"/>
        </w:rPr>
        <w:t xml:space="preserve"> 为滑面参数。复合控制律由等效控制和开关控制组成：</w:t>
      </w:r>
    </w:p>
    <w:tbl>
      <w:tblPr>
        <w:tblStyle w:val="11"/>
        <w:tblW w:w="907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567"/>
        <w:gridCol w:w="7403"/>
        <w:gridCol w:w="1100"/>
      </w:tblGrid>
      <w:tr w14:paraId="15F6A22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567" w:type="dxa"/>
            <w:tcBorders>
              <w:top w:val="nil"/>
              <w:left w:val="nil"/>
              <w:bottom w:val="nil"/>
              <w:right w:val="nil"/>
            </w:tcBorders>
            <w:vAlign w:val="center"/>
          </w:tcPr>
          <w:p w14:paraId="6DE6C5CC">
            <w:pPr>
              <w:ind w:firstLine="0"/>
            </w:pPr>
          </w:p>
        </w:tc>
        <w:tc>
          <w:tcPr>
            <w:tcW w:w="7403" w:type="dxa"/>
            <w:tcBorders>
              <w:top w:val="nil"/>
              <w:left w:val="nil"/>
              <w:bottom w:val="nil"/>
              <w:right w:val="nil"/>
            </w:tcBorders>
            <w:vAlign w:val="center"/>
          </w:tcPr>
          <w:p w14:paraId="28B13FB0">
            <w:pPr>
              <w:ind w:firstLine="0"/>
              <w:jc w:val="center"/>
            </w:pPr>
            <m:oMathPara>
              <m:oMath>
                <m:r>
                  <m:rPr/>
                  <m:t>u=</m:t>
                </m:r>
                <m:sSub>
                  <m:sSubPr/>
                  <m:e>
                    <m:r>
                      <m:rPr/>
                      <m:t>u</m:t>
                    </m:r>
                  </m:e>
                  <m:sub>
                    <m:r>
                      <m:rPr/>
                      <m:t>eq</m:t>
                    </m:r>
                  </m:sub>
                </m:sSub>
                <m:r>
                  <m:rPr/>
                  <m:t>+</m:t>
                </m:r>
                <m:sSub>
                  <m:sSubPr/>
                  <m:e>
                    <m:r>
                      <m:rPr/>
                      <m:t>u</m:t>
                    </m:r>
                  </m:e>
                  <m:sub>
                    <m:r>
                      <m:rPr/>
                      <m:t>sw</m:t>
                    </m:r>
                  </m:sub>
                </m:sSub>
                <m:r>
                  <m:rPr/>
                  <m:t>=</m:t>
                </m:r>
                <m:sSub>
                  <m:sSubPr/>
                  <m:e>
                    <m:r>
                      <m:rPr/>
                      <m:t>K</m:t>
                    </m:r>
                  </m:e>
                  <m:sub>
                    <m:r>
                      <m:rPr/>
                      <m:t>p</m:t>
                    </m:r>
                  </m:sub>
                </m:sSub>
                <m:r>
                  <m:rPr/>
                  <m:t>e+</m:t>
                </m:r>
                <m:sSub>
                  <m:sSubPr/>
                  <m:e>
                    <m:r>
                      <m:rPr/>
                      <m:t>K</m:t>
                    </m:r>
                  </m:e>
                  <m:sub>
                    <m:r>
                      <m:rPr/>
                      <m:t>i</m:t>
                    </m:r>
                  </m:sub>
                </m:sSub>
                <m:r>
                  <m:rPr/>
                  <m:t>∫edt+</m:t>
                </m:r>
                <m:sSub>
                  <m:sSubPr/>
                  <m:e>
                    <m:r>
                      <m:rPr/>
                      <m:t>K</m:t>
                    </m:r>
                  </m:e>
                  <m:sub>
                    <m:r>
                      <m:rPr/>
                      <m:t>d</m:t>
                    </m:r>
                  </m:sub>
                </m:sSub>
                <m:r>
                  <m:rPr/>
                  <m:t>e˙+η⋅sgn(s)</m:t>
                </m:r>
              </m:oMath>
            </m:oMathPara>
          </w:p>
        </w:tc>
        <w:tc>
          <w:tcPr>
            <w:tcW w:w="1100" w:type="dxa"/>
            <w:tcBorders>
              <w:top w:val="nil"/>
              <w:left w:val="nil"/>
              <w:bottom w:val="nil"/>
              <w:right w:val="nil"/>
            </w:tcBorders>
            <w:vAlign w:val="center"/>
          </w:tcPr>
          <w:p w14:paraId="278DC55A">
            <w:pPr>
              <w:ind w:firstLine="0"/>
              <w:jc w:val="right"/>
            </w:pPr>
            <w:r>
              <w:rPr>
                <w:rFonts w:ascii="Times New Roman" w:hAnsi="Times New Roman" w:eastAsia="宋体"/>
                <w:color w:val="000000"/>
                <w:sz w:val="24"/>
                <w:szCs w:val="24"/>
              </w:rPr>
              <w:t>(2)</w:t>
            </w:r>
          </w:p>
        </w:tc>
      </w:tr>
    </w:tbl>
    <w:p w14:paraId="4164114E">
      <w:pPr>
        <w:spacing w:line="360" w:lineRule="auto"/>
        <w:ind w:firstLine="480"/>
      </w:pPr>
      <w:r>
        <w:rPr>
          <w:color w:val="000000"/>
        </w:rPr>
        <w:t>其中</w:t>
      </w:r>
      <m:oMath>
        <m:sSub>
          <m:sSubPr/>
          <m:e>
            <m:r>
              <m:rPr/>
              <m:t>K</m:t>
            </m:r>
          </m:e>
          <m:sub>
            <m:r>
              <m:rPr/>
              <m:t>p</m:t>
            </m:r>
          </m:sub>
        </m:sSub>
        <m:r>
          <m:rPr/>
          <m:t>,</m:t>
        </m:r>
        <m:sSub>
          <m:sSubPr/>
          <m:e>
            <m:r>
              <m:rPr/>
              <m:t>K</m:t>
            </m:r>
          </m:e>
          <m:sub>
            <m:r>
              <m:rPr/>
              <m:t>i</m:t>
            </m:r>
          </m:sub>
        </m:sSub>
        <m:r>
          <m:rPr/>
          <m:t>,</m:t>
        </m:r>
        <m:sSub>
          <m:sSubPr/>
          <m:e>
            <m:r>
              <m:rPr/>
              <m:t>K</m:t>
            </m:r>
          </m:e>
          <m:sub>
            <m:r>
              <m:rPr/>
              <m:t>d</m:t>
            </m:r>
          </m:sub>
        </m:sSub>
      </m:oMath>
      <w:r>
        <w:rPr>
          <w:color w:val="000000"/>
        </w:rPr>
        <w:t xml:space="preserve"> 为PID增益参数，</w:t>
      </w:r>
      <m:oMath>
        <m:r>
          <m:rPr/>
          <m:t>η&gt;0</m:t>
        </m:r>
      </m:oMath>
      <w:r>
        <w:rPr>
          <w:color w:val="000000"/>
        </w:rPr>
        <w:t xml:space="preserve"> 为切换增益。需说明模型代码的实际实现：使用的是双曲正切 tanh(s/φ) 而非分段线性饱和函数 sat(s/φ)，式(2)中的 η·sgn(s) 与代码并非同一表达式。实际参数为 kSwitch=0.1、φ=0.35、λ=1.25、uMax=2.1。此处</w:t>
      </w:r>
      <m:oMath>
        <m:r>
          <m:rPr/>
          <m:t>sat(s/ϕ)</m:t>
        </m:r>
      </m:oMath>
      <w:r>
        <w:rPr>
          <w:color w:val="000000"/>
        </w:rPr>
        <w:t xml:space="preserve"> 取代了理想符号函数</w:t>
      </w:r>
      <m:oMath>
        <m:r>
          <m:rPr/>
          <m:t>sgn(s)</m:t>
        </m:r>
      </m:oMath>
      <w:r>
        <w:rPr>
          <w:color w:val="000000"/>
        </w:rPr>
        <w:t xml:space="preserve"> ，其中</w:t>
      </w:r>
      <m:oMath>
        <m:r>
          <m:rPr/>
          <m:t>ϕ&gt;0</m:t>
        </m:r>
      </m:oMath>
      <w:r>
        <w:rPr>
          <w:color w:val="000000"/>
        </w:rPr>
        <w:t xml:space="preserve"> 是边界层厚度参数。实测切换项处于饱和区的时间占比仅 0% 至 5%，其余时间工作在边界层线性区，等效为增益 kSwitch/φ=0.286 的附加比例项，因此该项对输出的实际贡献有限</w:t>
      </w:r>
      <w:r>
        <w:rPr>
          <w:color w:val="000000"/>
          <w:vertAlign w:val="superscript"/>
        </w:rPr>
        <w:t>[1][4]</w:t>
      </w:r>
      <w:r>
        <w:rPr>
          <w:color w:val="000000"/>
        </w:rPr>
        <w:t xml:space="preserve"> 。</w:t>
      </w:r>
    </w:p>
    <w:p w14:paraId="6657F561">
      <w:pPr>
        <w:spacing w:line="360" w:lineRule="auto"/>
        <w:ind w:firstLine="480"/>
      </w:pPr>
      <w:r>
        <w:rPr>
          <w:color w:val="000000"/>
        </w:rPr>
        <w:t>符号与实现映射：</w:t>
      </w:r>
    </w:p>
    <w:tbl>
      <w:tblPr>
        <w:tblStyle w:val="11"/>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23"/>
        <w:gridCol w:w="3023"/>
        <w:gridCol w:w="3024"/>
      </w:tblGrid>
      <w:tr w14:paraId="650C1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23"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5280691B">
            <w:pPr>
              <w:ind w:firstLine="0"/>
              <w:jc w:val="center"/>
            </w:pPr>
            <w:r>
              <w:rPr>
                <w:rFonts w:ascii="Times New Roman" w:hAnsi="Times New Roman" w:eastAsia="宋体"/>
                <w:b/>
                <w:bCs/>
                <w:color w:val="000000"/>
                <w:sz w:val="21"/>
                <w:szCs w:val="21"/>
              </w:rPr>
              <w:t>数学符号</w:t>
            </w:r>
          </w:p>
        </w:tc>
        <w:tc>
          <w:tcPr>
            <w:tcW w:w="3023"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38CF531E">
            <w:pPr>
              <w:ind w:firstLine="0"/>
              <w:jc w:val="center"/>
            </w:pPr>
            <w:r>
              <w:rPr>
                <w:rFonts w:ascii="Times New Roman" w:hAnsi="Times New Roman" w:eastAsia="宋体"/>
                <w:b/>
                <w:bCs/>
                <w:color w:val="000000"/>
                <w:sz w:val="21"/>
                <w:szCs w:val="21"/>
              </w:rPr>
              <w:t>Modelica变量</w:t>
            </w:r>
          </w:p>
        </w:tc>
        <w:tc>
          <w:tcPr>
            <w:tcW w:w="3024"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1CE87294">
            <w:pPr>
              <w:ind w:firstLine="0"/>
              <w:jc w:val="center"/>
            </w:pPr>
            <w:r>
              <w:rPr>
                <w:rFonts w:ascii="Times New Roman" w:hAnsi="Times New Roman" w:eastAsia="宋体"/>
                <w:b/>
                <w:bCs/>
                <w:color w:val="000000"/>
                <w:sz w:val="21"/>
                <w:szCs w:val="21"/>
              </w:rPr>
              <w:t>描述</w:t>
            </w:r>
          </w:p>
        </w:tc>
      </w:tr>
      <w:tr w14:paraId="3F1F4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1F36F3CF">
            <w:pPr>
              <w:ind w:firstLine="0"/>
              <w:jc w:val="center"/>
            </w:pPr>
            <m:oMathPara>
              <m:oMath>
                <m:r>
                  <m:rPr/>
                  <m:t>λ</m:t>
                </m:r>
              </m:oMath>
            </m:oMathPara>
          </w:p>
        </w:tc>
        <w:tc>
          <w:tcPr>
            <w:tcW w:w="3023" w:type="dxa"/>
            <w:tcBorders>
              <w:top w:val="nil"/>
              <w:left w:val="nil"/>
              <w:bottom w:val="nil"/>
              <w:right w:val="nil"/>
            </w:tcBorders>
            <w:shd w:val="clear" w:color="auto" w:fill="FFFFFF"/>
            <w:tcMar>
              <w:top w:w="80" w:type="dxa"/>
              <w:left w:w="120" w:type="dxa"/>
              <w:bottom w:w="80" w:type="dxa"/>
              <w:right w:w="120" w:type="dxa"/>
            </w:tcMar>
          </w:tcPr>
          <w:p w14:paraId="150E2ABA">
            <w:pPr>
              <w:ind w:firstLine="0"/>
              <w:jc w:val="center"/>
            </w:pPr>
            <w:r>
              <w:rPr>
                <w:rFonts w:ascii="Times New Roman" w:hAnsi="Times New Roman" w:eastAsia="宋体"/>
                <w:b w:val="0"/>
                <w:bCs w:val="0"/>
                <w:color w:val="000000"/>
                <w:sz w:val="21"/>
                <w:szCs w:val="21"/>
              </w:rPr>
              <w:t>slidingSurfaceParam</w:t>
            </w:r>
          </w:p>
        </w:tc>
        <w:tc>
          <w:tcPr>
            <w:tcW w:w="3024" w:type="dxa"/>
            <w:tcBorders>
              <w:top w:val="nil"/>
              <w:left w:val="nil"/>
              <w:bottom w:val="nil"/>
              <w:right w:val="nil"/>
            </w:tcBorders>
            <w:shd w:val="clear" w:color="auto" w:fill="FFFFFF"/>
            <w:tcMar>
              <w:top w:w="80" w:type="dxa"/>
              <w:left w:w="120" w:type="dxa"/>
              <w:bottom w:w="80" w:type="dxa"/>
              <w:right w:w="120" w:type="dxa"/>
            </w:tcMar>
          </w:tcPr>
          <w:p w14:paraId="4577BCC7">
            <w:pPr>
              <w:ind w:firstLine="0"/>
              <w:jc w:val="center"/>
            </w:pPr>
            <w:r>
              <w:rPr>
                <w:rFonts w:ascii="Times New Roman" w:hAnsi="Times New Roman" w:eastAsia="宋体"/>
                <w:b w:val="0"/>
                <w:bCs w:val="0"/>
                <w:color w:val="000000"/>
                <w:sz w:val="21"/>
                <w:szCs w:val="21"/>
              </w:rPr>
              <w:t>滑动面收敛参数</w:t>
            </w:r>
          </w:p>
        </w:tc>
      </w:tr>
      <w:tr w14:paraId="302C1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052A9947">
            <w:pPr>
              <w:ind w:firstLine="0"/>
              <w:jc w:val="center"/>
            </w:pPr>
            <m:oMathPara>
              <m:oMath>
                <m:r>
                  <m:rPr/>
                  <m:t>η</m:t>
                </m:r>
              </m:oMath>
            </m:oMathPara>
          </w:p>
        </w:tc>
        <w:tc>
          <w:tcPr>
            <w:tcW w:w="3023" w:type="dxa"/>
            <w:tcBorders>
              <w:top w:val="nil"/>
              <w:left w:val="nil"/>
              <w:bottom w:val="nil"/>
              <w:right w:val="nil"/>
            </w:tcBorders>
            <w:shd w:val="clear" w:color="auto" w:fill="FFFFFF"/>
            <w:tcMar>
              <w:top w:w="80" w:type="dxa"/>
              <w:left w:w="120" w:type="dxa"/>
              <w:bottom w:w="80" w:type="dxa"/>
              <w:right w:w="120" w:type="dxa"/>
            </w:tcMar>
          </w:tcPr>
          <w:p w14:paraId="2DA77220">
            <w:pPr>
              <w:ind w:firstLine="0"/>
              <w:jc w:val="center"/>
            </w:pPr>
            <w:r>
              <w:rPr>
                <w:rFonts w:ascii="Times New Roman" w:hAnsi="Times New Roman" w:eastAsia="宋体"/>
                <w:b w:val="0"/>
                <w:bCs w:val="0"/>
                <w:color w:val="000000"/>
                <w:sz w:val="21"/>
                <w:szCs w:val="21"/>
              </w:rPr>
              <w:t>switchingGain</w:t>
            </w:r>
          </w:p>
        </w:tc>
        <w:tc>
          <w:tcPr>
            <w:tcW w:w="3024" w:type="dxa"/>
            <w:tcBorders>
              <w:top w:val="nil"/>
              <w:left w:val="nil"/>
              <w:bottom w:val="nil"/>
              <w:right w:val="nil"/>
            </w:tcBorders>
            <w:shd w:val="clear" w:color="auto" w:fill="FFFFFF"/>
            <w:tcMar>
              <w:top w:w="80" w:type="dxa"/>
              <w:left w:w="120" w:type="dxa"/>
              <w:bottom w:w="80" w:type="dxa"/>
              <w:right w:w="120" w:type="dxa"/>
            </w:tcMar>
          </w:tcPr>
          <w:p w14:paraId="1C8060B3">
            <w:pPr>
              <w:ind w:firstLine="0"/>
              <w:jc w:val="center"/>
            </w:pPr>
            <w:r>
              <w:rPr>
                <w:rFonts w:ascii="Times New Roman" w:hAnsi="Times New Roman" w:eastAsia="宋体"/>
                <w:b w:val="0"/>
                <w:bCs w:val="0"/>
                <w:color w:val="000000"/>
                <w:sz w:val="21"/>
                <w:szCs w:val="21"/>
              </w:rPr>
              <w:t>切换控制增益</w:t>
            </w:r>
          </w:p>
        </w:tc>
      </w:tr>
      <w:tr w14:paraId="53758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52DA504B">
            <w:pPr>
              <w:ind w:firstLine="0"/>
              <w:jc w:val="center"/>
            </w:pPr>
            <m:oMathPara>
              <m:oMath>
                <m:r>
                  <m:rPr/>
                  <m:t>ϕ</m:t>
                </m:r>
              </m:oMath>
            </m:oMathPara>
          </w:p>
        </w:tc>
        <w:tc>
          <w:tcPr>
            <w:tcW w:w="3023" w:type="dxa"/>
            <w:tcBorders>
              <w:top w:val="nil"/>
              <w:left w:val="nil"/>
              <w:bottom w:val="nil"/>
              <w:right w:val="nil"/>
            </w:tcBorders>
            <w:shd w:val="clear" w:color="auto" w:fill="FFFFFF"/>
            <w:tcMar>
              <w:top w:w="80" w:type="dxa"/>
              <w:left w:w="120" w:type="dxa"/>
              <w:bottom w:w="80" w:type="dxa"/>
              <w:right w:w="120" w:type="dxa"/>
            </w:tcMar>
          </w:tcPr>
          <w:p w14:paraId="3FFEE554">
            <w:pPr>
              <w:ind w:firstLine="0"/>
              <w:jc w:val="center"/>
            </w:pPr>
            <w:r>
              <w:rPr>
                <w:rFonts w:ascii="Times New Roman" w:hAnsi="Times New Roman" w:eastAsia="宋体"/>
                <w:b w:val="0"/>
                <w:bCs w:val="0"/>
                <w:color w:val="000000"/>
                <w:sz w:val="21"/>
                <w:szCs w:val="21"/>
              </w:rPr>
              <w:t>boundaryLayerThickness</w:t>
            </w:r>
          </w:p>
        </w:tc>
        <w:tc>
          <w:tcPr>
            <w:tcW w:w="3024" w:type="dxa"/>
            <w:tcBorders>
              <w:top w:val="nil"/>
              <w:left w:val="nil"/>
              <w:bottom w:val="nil"/>
              <w:right w:val="nil"/>
            </w:tcBorders>
            <w:shd w:val="clear" w:color="auto" w:fill="FFFFFF"/>
            <w:tcMar>
              <w:top w:w="80" w:type="dxa"/>
              <w:left w:w="120" w:type="dxa"/>
              <w:bottom w:w="80" w:type="dxa"/>
              <w:right w:w="120" w:type="dxa"/>
            </w:tcMar>
          </w:tcPr>
          <w:p w14:paraId="35D05E9A">
            <w:pPr>
              <w:ind w:firstLine="0"/>
              <w:jc w:val="center"/>
            </w:pPr>
            <w:r>
              <w:rPr>
                <w:rFonts w:ascii="Times New Roman" w:hAnsi="Times New Roman" w:eastAsia="宋体"/>
                <w:b w:val="0"/>
                <w:bCs w:val="0"/>
                <w:color w:val="000000"/>
                <w:sz w:val="21"/>
                <w:szCs w:val="21"/>
              </w:rPr>
              <w:t>饱和边界层宽度</w:t>
            </w:r>
          </w:p>
        </w:tc>
      </w:tr>
      <w:tr w14:paraId="42A8C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5193BD9A">
            <w:pPr>
              <w:ind w:firstLine="0"/>
              <w:jc w:val="center"/>
            </w:pPr>
            <m:oMathPara>
              <m:oMath>
                <m:sSub>
                  <m:sSubPr/>
                  <m:e>
                    <m:r>
                      <m:rPr/>
                      <m:t>K</m:t>
                    </m:r>
                  </m:e>
                  <m:sub>
                    <m:r>
                      <m:rPr/>
                      <m:t>p</m:t>
                    </m:r>
                  </m:sub>
                </m:sSub>
                <m:r>
                  <m:rPr/>
                  <m:t>,</m:t>
                </m:r>
                <m:sSub>
                  <m:sSubPr/>
                  <m:e>
                    <m:r>
                      <m:rPr/>
                      <m:t>K</m:t>
                    </m:r>
                  </m:e>
                  <m:sub>
                    <m:r>
                      <m:rPr/>
                      <m:t>i</m:t>
                    </m:r>
                  </m:sub>
                </m:sSub>
                <m:r>
                  <m:rPr/>
                  <m:t>,</m:t>
                </m:r>
                <m:sSub>
                  <m:sSubPr/>
                  <m:e>
                    <m:r>
                      <m:rPr/>
                      <m:t>K</m:t>
                    </m:r>
                  </m:e>
                  <m:sub>
                    <m:r>
                      <m:rPr/>
                      <m:t>d</m:t>
                    </m:r>
                  </m:sub>
                </m:sSub>
              </m:oMath>
            </m:oMathPara>
          </w:p>
        </w:tc>
        <w:tc>
          <w:tcPr>
            <w:tcW w:w="3023" w:type="dxa"/>
            <w:tcBorders>
              <w:top w:val="nil"/>
              <w:left w:val="nil"/>
              <w:bottom w:val="nil"/>
              <w:right w:val="nil"/>
            </w:tcBorders>
            <w:shd w:val="clear" w:color="auto" w:fill="FFFFFF"/>
            <w:tcMar>
              <w:top w:w="80" w:type="dxa"/>
              <w:left w:w="120" w:type="dxa"/>
              <w:bottom w:w="80" w:type="dxa"/>
              <w:right w:w="120" w:type="dxa"/>
            </w:tcMar>
          </w:tcPr>
          <w:p w14:paraId="39E7D2F0">
            <w:pPr>
              <w:ind w:firstLine="0"/>
              <w:jc w:val="center"/>
            </w:pPr>
            <w:r>
              <w:rPr>
                <w:rFonts w:ascii="Times New Roman" w:hAnsi="Times New Roman" w:eastAsia="宋体"/>
                <w:b w:val="0"/>
                <w:bCs w:val="0"/>
                <w:color w:val="000000"/>
                <w:sz w:val="21"/>
                <w:szCs w:val="21"/>
              </w:rPr>
              <w:t>Kp、Ki、Kd</w:t>
            </w:r>
          </w:p>
        </w:tc>
        <w:tc>
          <w:tcPr>
            <w:tcW w:w="3024" w:type="dxa"/>
            <w:tcBorders>
              <w:top w:val="nil"/>
              <w:left w:val="nil"/>
              <w:bottom w:val="nil"/>
              <w:right w:val="nil"/>
            </w:tcBorders>
            <w:shd w:val="clear" w:color="auto" w:fill="FFFFFF"/>
            <w:tcMar>
              <w:top w:w="80" w:type="dxa"/>
              <w:left w:w="120" w:type="dxa"/>
              <w:bottom w:w="80" w:type="dxa"/>
              <w:right w:w="120" w:type="dxa"/>
            </w:tcMar>
          </w:tcPr>
          <w:p w14:paraId="7C44B454">
            <w:pPr>
              <w:ind w:firstLine="0"/>
              <w:jc w:val="center"/>
            </w:pPr>
            <w:r>
              <w:rPr>
                <w:rFonts w:ascii="Times New Roman" w:hAnsi="Times New Roman" w:eastAsia="宋体"/>
                <w:b w:val="0"/>
                <w:bCs w:val="0"/>
                <w:color w:val="000000"/>
                <w:sz w:val="21"/>
                <w:szCs w:val="21"/>
              </w:rPr>
              <w:t>PID 增益参数</w:t>
            </w:r>
          </w:p>
        </w:tc>
      </w:tr>
      <w:tr w14:paraId="556B4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single" w:color="000000" w:sz="12" w:space="0"/>
              <w:right w:val="nil"/>
            </w:tcBorders>
            <w:shd w:val="clear" w:color="auto" w:fill="FFFFFF"/>
            <w:tcMar>
              <w:top w:w="80" w:type="dxa"/>
              <w:left w:w="120" w:type="dxa"/>
              <w:bottom w:w="80" w:type="dxa"/>
              <w:right w:w="120" w:type="dxa"/>
            </w:tcMar>
          </w:tcPr>
          <w:p w14:paraId="20970034">
            <w:pPr>
              <w:ind w:firstLine="0"/>
              <w:jc w:val="center"/>
            </w:pPr>
            <m:oMathPara>
              <m:oMath>
                <m:r>
                  <m:rPr/>
                  <m:t>max</m:t>
                </m:r>
              </m:oMath>
            </m:oMathPara>
          </w:p>
        </w:tc>
        <w:tc>
          <w:tcPr>
            <w:tcW w:w="3023" w:type="dxa"/>
            <w:tcBorders>
              <w:top w:val="nil"/>
              <w:left w:val="nil"/>
              <w:bottom w:val="single" w:color="000000" w:sz="12" w:space="0"/>
              <w:right w:val="nil"/>
            </w:tcBorders>
            <w:shd w:val="clear" w:color="auto" w:fill="FFFFFF"/>
            <w:tcMar>
              <w:top w:w="80" w:type="dxa"/>
              <w:left w:w="120" w:type="dxa"/>
              <w:bottom w:w="80" w:type="dxa"/>
              <w:right w:w="120" w:type="dxa"/>
            </w:tcMar>
          </w:tcPr>
          <w:p w14:paraId="681F0EF2">
            <w:pPr>
              <w:ind w:firstLine="0"/>
              <w:jc w:val="center"/>
            </w:pPr>
            <w:r>
              <w:rPr>
                <w:rFonts w:ascii="Times New Roman" w:hAnsi="Times New Roman" w:eastAsia="宋体"/>
                <w:b w:val="0"/>
                <w:bCs w:val="0"/>
                <w:color w:val="000000"/>
                <w:sz w:val="21"/>
                <w:szCs w:val="21"/>
              </w:rPr>
              <w:t>姿态安全阈值</w:t>
            </w:r>
          </w:p>
        </w:tc>
        <w:tc>
          <w:tcPr>
            <w:tcW w:w="3024" w:type="dxa"/>
            <w:tcBorders>
              <w:top w:val="nil"/>
              <w:left w:val="nil"/>
              <w:bottom w:val="single" w:color="000000" w:sz="12" w:space="0"/>
              <w:right w:val="nil"/>
            </w:tcBorders>
            <w:shd w:val="clear" w:color="auto" w:fill="FFFFFF"/>
            <w:tcMar>
              <w:top w:w="80" w:type="dxa"/>
              <w:left w:w="120" w:type="dxa"/>
              <w:bottom w:w="80" w:type="dxa"/>
              <w:right w:w="120" w:type="dxa"/>
            </w:tcMar>
          </w:tcPr>
          <w:p w14:paraId="6B2176D5">
            <w:pPr>
              <w:ind w:firstLine="0"/>
              <w:jc w:val="center"/>
            </w:pPr>
            <w:r>
              <w:rPr>
                <w:rFonts w:ascii="Times New Roman" w:hAnsi="Times New Roman" w:eastAsia="宋体"/>
                <w:b w:val="0"/>
                <w:bCs w:val="0"/>
                <w:color w:val="000000"/>
                <w:sz w:val="21"/>
                <w:szCs w:val="21"/>
              </w:rPr>
              <w:t>15度姿态限制</w:t>
            </w:r>
          </w:p>
        </w:tc>
      </w:tr>
    </w:tbl>
    <w:p w14:paraId="4E46F454">
      <w:pPr>
        <w:pStyle w:val="4"/>
        <w:spacing w:before="120" w:after="60" w:line="360" w:lineRule="auto"/>
        <w:ind w:firstLine="0"/>
        <w:jc w:val="left"/>
        <w:rPr>
          <w:rFonts w:ascii="Times New Roman" w:hAnsi="Times New Roman" w:eastAsia="黑体"/>
          <w:b/>
          <w:bCs/>
          <w:color w:val="000000"/>
          <w:sz w:val="24"/>
          <w:szCs w:val="24"/>
        </w:rPr>
      </w:pPr>
    </w:p>
    <w:p w14:paraId="31C56F08">
      <w:pPr>
        <w:pStyle w:val="4"/>
        <w:spacing w:before="120" w:after="60" w:line="360" w:lineRule="auto"/>
        <w:ind w:firstLine="0"/>
        <w:jc w:val="left"/>
      </w:pPr>
      <w:r>
        <w:rPr>
          <w:rFonts w:ascii="Times New Roman" w:hAnsi="Times New Roman" w:eastAsia="黑体"/>
          <w:b/>
          <w:bCs/>
          <w:color w:val="000000"/>
          <w:sz w:val="24"/>
          <w:szCs w:val="24"/>
        </w:rPr>
        <w:t>2.5 CBF/PPC/ERG 安全链设计</w:t>
      </w:r>
    </w:p>
    <w:p w14:paraId="3444CF1D">
      <w:pPr>
        <w:spacing w:line="360" w:lineRule="auto"/>
        <w:ind w:firstLine="480"/>
      </w:pPr>
      <w:r>
        <w:rPr>
          <w:color w:val="000000"/>
        </w:rPr>
        <w:t>该安全链集成了四个控制模块：</w:t>
      </w:r>
    </w:p>
    <w:p w14:paraId="4EC2AAE8">
      <w:pPr>
        <w:spacing w:line="360" w:lineRule="auto"/>
        <w:ind w:firstLine="480"/>
      </w:pPr>
      <w:r>
        <w:rPr>
          <w:color w:val="000000"/>
        </w:rPr>
        <w:t>CBF安全投影：基于控制屏障函数理论</w:t>
      </w:r>
      <w:r>
        <w:rPr>
          <w:color w:val="000000"/>
          <w:vertAlign w:val="superscript"/>
        </w:rPr>
        <w:t>[5]</w:t>
      </w:r>
      <w:r>
        <w:rPr>
          <w:color w:val="000000"/>
        </w:rPr>
        <w:t>，定义了一个安全集</w:t>
      </w:r>
      <m:oMath>
        <m:r>
          <m:rPr/>
          <m:t>C={x:h(x)≥0}</m:t>
        </m:r>
      </m:oMath>
      <w:r>
        <w:rPr>
          <w:color w:val="000000"/>
        </w:rPr>
        <w:t xml:space="preserve"> 。需如实说明代码的实际实现：AdvancedSafetyControl.mo 中的 CBFCommandFilter 为静态幅值钳位（rollSafe = min(max(rollCmd, -angleLimit), angleLimit)），不含二次规划求解，且其阈值取 15°，比增强模型内已生效的 9.5° 指令限幅更宽松，即使被实例化也不会激活。姿态角约束相对倾角指令是相对度 2 的，静态幅值投影无法阻止超调。对于姿态角约束，安全函数为：</w:t>
      </w:r>
    </w:p>
    <w:tbl>
      <w:tblPr>
        <w:tblStyle w:val="11"/>
        <w:tblW w:w="907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567"/>
        <w:gridCol w:w="7403"/>
        <w:gridCol w:w="1100"/>
      </w:tblGrid>
      <w:tr w14:paraId="68DDC7C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567" w:type="dxa"/>
            <w:tcBorders>
              <w:top w:val="nil"/>
              <w:left w:val="nil"/>
              <w:bottom w:val="nil"/>
              <w:right w:val="nil"/>
            </w:tcBorders>
            <w:vAlign w:val="center"/>
          </w:tcPr>
          <w:p w14:paraId="3F843668">
            <w:pPr>
              <w:ind w:firstLine="0"/>
            </w:pPr>
          </w:p>
        </w:tc>
        <w:tc>
          <w:tcPr>
            <w:tcW w:w="7403" w:type="dxa"/>
            <w:tcBorders>
              <w:top w:val="nil"/>
              <w:left w:val="nil"/>
              <w:bottom w:val="nil"/>
              <w:right w:val="nil"/>
            </w:tcBorders>
            <w:vAlign w:val="center"/>
          </w:tcPr>
          <w:p w14:paraId="7C46F13C">
            <w:pPr>
              <w:ind w:firstLine="0"/>
              <w:jc w:val="center"/>
            </w:pPr>
            <m:oMathPara>
              <m:oMath>
                <m:r>
                  <m:rPr/>
                  <m:t>h(θ)=</m:t>
                </m:r>
                <m:sSub>
                  <m:sSubPr/>
                  <m:e>
                    <m:r>
                      <m:rPr/>
                      <m:t>θ</m:t>
                    </m:r>
                  </m:e>
                  <m:sub>
                    <m:r>
                      <m:rPr/>
                      <m:t>max</m:t>
                    </m:r>
                  </m:sub>
                </m:sSub>
                <m:r>
                  <m:rPr/>
                  <m:t>−|θ|</m:t>
                </m:r>
              </m:oMath>
            </m:oMathPara>
          </w:p>
        </w:tc>
        <w:tc>
          <w:tcPr>
            <w:tcW w:w="1100" w:type="dxa"/>
            <w:tcBorders>
              <w:top w:val="nil"/>
              <w:left w:val="nil"/>
              <w:bottom w:val="nil"/>
              <w:right w:val="nil"/>
            </w:tcBorders>
            <w:vAlign w:val="center"/>
          </w:tcPr>
          <w:p w14:paraId="646CAB63">
            <w:pPr>
              <w:ind w:firstLine="0"/>
              <w:jc w:val="right"/>
            </w:pPr>
            <w:r>
              <w:rPr>
                <w:rFonts w:ascii="Times New Roman" w:hAnsi="Times New Roman" w:eastAsia="宋体"/>
                <w:color w:val="000000"/>
                <w:sz w:val="24"/>
                <w:szCs w:val="24"/>
              </w:rPr>
              <w:t>(3)</w:t>
            </w:r>
          </w:p>
        </w:tc>
      </w:tr>
    </w:tbl>
    <w:p w14:paraId="63E04E82">
      <w:pPr>
        <w:spacing w:line="360" w:lineRule="auto"/>
        <w:ind w:firstLine="480"/>
      </w:pPr>
      <w:r>
        <w:rPr>
          <w:color w:val="000000"/>
        </w:rPr>
        <w:t>其中</w:t>
      </w:r>
      <m:oMath>
        <m:sSub>
          <m:sSubPr/>
          <m:e>
            <m:r>
              <m:rPr/>
              <m:t>θ</m:t>
            </m:r>
          </m:e>
          <m:sub>
            <m:r>
              <m:rPr/>
              <m:t>max</m:t>
            </m:r>
          </m:sub>
        </m:sSub>
        <m:r>
          <m:rPr/>
          <m:t>=15°</m:t>
        </m:r>
      </m:oMath>
      <w:r>
        <w:rPr>
          <w:color w:val="000000"/>
        </w:rPr>
        <w:t xml:space="preserve"> 为姿态安全阈值。</w:t>
      </w:r>
    </w:p>
    <w:p w14:paraId="147E5070">
      <w:pPr>
        <w:spacing w:line="360" w:lineRule="auto"/>
        <w:ind w:firstLine="480"/>
      </w:pPr>
      <w:r>
        <w:rPr>
          <w:color w:val="000000"/>
        </w:rPr>
        <w:t>PPC误差包络：基于预定性能控制理论</w:t>
      </w:r>
      <w:r>
        <w:rPr>
          <w:color w:val="000000"/>
          <w:vertAlign w:val="superscript"/>
        </w:rPr>
        <w:t>[6]</w:t>
      </w:r>
      <w:r>
        <w:rPr>
          <w:color w:val="000000"/>
        </w:rPr>
        <w:t>，为跟踪误差设定一个随时间变化的性能边界函数</w:t>
      </w:r>
      <m:oMath>
        <m:r>
          <m:rPr/>
          <m:t>ρ(t)</m:t>
        </m:r>
      </m:oMath>
      <w:r>
        <w:rPr>
          <w:color w:val="000000"/>
        </w:rPr>
        <w:t xml:space="preserve"> ，保证误差</w:t>
      </w:r>
      <m:oMath>
        <m:r>
          <m:rPr/>
          <m:t>e(t)</m:t>
        </m:r>
      </m:oMath>
      <w:r>
        <w:rPr>
          <w:color w:val="000000"/>
        </w:rPr>
        <w:t xml:space="preserve"> 始终满足</w:t>
      </w:r>
      <m:oMath>
        <m:r>
          <m:rPr/>
          <m:t>|e(t)|&lt;ρ(t)</m:t>
        </m:r>
      </m:oMath>
      <w:r>
        <w:rPr>
          <w:color w:val="000000"/>
        </w:rPr>
        <w:t xml:space="preserve"> ，从而将瞬态和稳态误差均限制在预设范围内。</w:t>
      </w:r>
    </w:p>
    <w:p w14:paraId="73200F21">
      <w:pPr>
        <w:spacing w:line="360" w:lineRule="auto"/>
        <w:ind w:firstLine="480"/>
      </w:pPr>
      <w:r>
        <w:rPr>
          <w:color w:val="000000"/>
        </w:rPr>
        <w:t>ERG 参考调速器：基于参考调速器理论</w:t>
      </w:r>
      <w:r>
        <w:rPr>
          <w:color w:val="000000"/>
          <w:vertAlign w:val="superscript"/>
        </w:rPr>
        <w:t>[7][10]</w:t>
      </w:r>
      <w:r>
        <w:rPr>
          <w:color w:val="000000"/>
        </w:rPr>
        <w:t xml:space="preserve"> ，根据实时飞行状态动态调整参考轨迹的预移速率。当系统状态接近约束边界时，ERG 会主动降低参考信号的变化速率，以防止违反约束条件。</w:t>
      </w:r>
    </w:p>
    <w:p w14:paraId="5CF85C95">
      <w:pPr>
        <w:spacing w:line="360" w:lineRule="auto"/>
        <w:ind w:firstLine="480"/>
      </w:pPr>
      <w:r>
        <w:rPr>
          <w:color w:val="000000"/>
        </w:rPr>
        <w:t>姿态风险预警：基于0.5s时间窗的时序数据分析，提前识别姿态角趋势异常，并输出预警信号以实现主动风险防范。</w:t>
      </w:r>
    </w:p>
    <w:p w14:paraId="36F0A5FB">
      <w:pPr>
        <w:pStyle w:val="4"/>
        <w:spacing w:before="120" w:after="60" w:line="360" w:lineRule="auto"/>
        <w:ind w:firstLine="0"/>
        <w:jc w:val="left"/>
      </w:pPr>
      <w:r>
        <w:rPr>
          <w:rFonts w:ascii="Times New Roman" w:hAnsi="Times New Roman" w:eastAsia="黑体"/>
          <w:b/>
          <w:bCs/>
          <w:color w:val="000000"/>
          <w:sz w:val="24"/>
          <w:szCs w:val="24"/>
        </w:rPr>
        <w:t>2.6 技术规格摘要</w:t>
      </w:r>
    </w:p>
    <w:tbl>
      <w:tblPr>
        <w:tblStyle w:val="11"/>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535"/>
        <w:gridCol w:w="4535"/>
      </w:tblGrid>
      <w:tr w14:paraId="63254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3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0B11D7D2">
            <w:pPr>
              <w:ind w:firstLine="0"/>
              <w:jc w:val="center"/>
            </w:pPr>
            <w:r>
              <w:rPr>
                <w:rFonts w:ascii="Times New Roman" w:hAnsi="Times New Roman" w:eastAsia="宋体"/>
                <w:b/>
                <w:bCs/>
                <w:color w:val="000000"/>
                <w:sz w:val="21"/>
                <w:szCs w:val="21"/>
              </w:rPr>
              <w:t>参数</w:t>
            </w:r>
          </w:p>
        </w:tc>
        <w:tc>
          <w:tcPr>
            <w:tcW w:w="453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047D60C7">
            <w:pPr>
              <w:ind w:firstLine="0"/>
              <w:jc w:val="center"/>
            </w:pPr>
            <w:r>
              <w:rPr>
                <w:rFonts w:ascii="Times New Roman" w:hAnsi="Times New Roman" w:eastAsia="宋体"/>
                <w:b/>
                <w:bCs/>
                <w:color w:val="000000"/>
                <w:sz w:val="21"/>
                <w:szCs w:val="21"/>
              </w:rPr>
              <w:t>值</w:t>
            </w:r>
          </w:p>
        </w:tc>
      </w:tr>
      <w:tr w14:paraId="14D62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7C008260">
            <w:pPr>
              <w:ind w:firstLine="0"/>
              <w:jc w:val="center"/>
            </w:pPr>
            <w:r>
              <w:rPr>
                <w:rFonts w:ascii="Times New Roman" w:hAnsi="Times New Roman" w:eastAsia="宋体"/>
                <w:b w:val="0"/>
                <w:bCs w:val="0"/>
                <w:color w:val="000000"/>
                <w:sz w:val="21"/>
                <w:szCs w:val="21"/>
              </w:rPr>
              <w:t>仿真平台</w:t>
            </w:r>
          </w:p>
        </w:tc>
        <w:tc>
          <w:tcPr>
            <w:tcW w:w="4535" w:type="dxa"/>
            <w:tcBorders>
              <w:top w:val="nil"/>
              <w:left w:val="nil"/>
              <w:bottom w:val="nil"/>
              <w:right w:val="nil"/>
            </w:tcBorders>
            <w:shd w:val="clear" w:color="auto" w:fill="FFFFFF"/>
            <w:tcMar>
              <w:top w:w="80" w:type="dxa"/>
              <w:left w:w="120" w:type="dxa"/>
              <w:bottom w:w="80" w:type="dxa"/>
              <w:right w:w="120" w:type="dxa"/>
            </w:tcMar>
          </w:tcPr>
          <w:p w14:paraId="6490AE82">
            <w:pPr>
              <w:ind w:firstLine="0"/>
              <w:jc w:val="center"/>
            </w:pPr>
            <w:r>
              <w:rPr>
                <w:rFonts w:ascii="Times New Roman" w:hAnsi="Times New Roman" w:eastAsia="宋体"/>
                <w:b w:val="0"/>
                <w:bCs w:val="0"/>
                <w:color w:val="000000"/>
                <w:sz w:val="21"/>
                <w:szCs w:val="21"/>
              </w:rPr>
              <w:t>MWORKS Sysplorer 2026a</w:t>
            </w:r>
          </w:p>
        </w:tc>
      </w:tr>
      <w:tr w14:paraId="01841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16789549">
            <w:pPr>
              <w:ind w:firstLine="0"/>
              <w:jc w:val="center"/>
            </w:pPr>
            <w:r>
              <w:rPr>
                <w:rFonts w:ascii="Times New Roman" w:hAnsi="Times New Roman" w:eastAsia="宋体"/>
                <w:b w:val="0"/>
                <w:bCs w:val="0"/>
                <w:color w:val="000000"/>
                <w:sz w:val="21"/>
                <w:szCs w:val="21"/>
              </w:rPr>
              <w:t>建模语言</w:t>
            </w:r>
          </w:p>
        </w:tc>
        <w:tc>
          <w:tcPr>
            <w:tcW w:w="4535" w:type="dxa"/>
            <w:tcBorders>
              <w:top w:val="nil"/>
              <w:left w:val="nil"/>
              <w:bottom w:val="nil"/>
              <w:right w:val="nil"/>
            </w:tcBorders>
            <w:shd w:val="clear" w:color="auto" w:fill="FFFFFF"/>
            <w:tcMar>
              <w:top w:w="80" w:type="dxa"/>
              <w:left w:w="120" w:type="dxa"/>
              <w:bottom w:w="80" w:type="dxa"/>
              <w:right w:w="120" w:type="dxa"/>
            </w:tcMar>
          </w:tcPr>
          <w:p w14:paraId="7C96CB1C">
            <w:pPr>
              <w:ind w:firstLine="0"/>
              <w:jc w:val="center"/>
            </w:pPr>
            <w:r>
              <w:rPr>
                <w:rFonts w:ascii="Times New Roman" w:hAnsi="Times New Roman" w:eastAsia="宋体"/>
                <w:b w:val="0"/>
                <w:bCs w:val="0"/>
                <w:color w:val="000000"/>
                <w:sz w:val="21"/>
                <w:szCs w:val="21"/>
              </w:rPr>
              <w:t>Modelica</w:t>
            </w:r>
          </w:p>
        </w:tc>
      </w:tr>
      <w:tr w14:paraId="4A488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1C03F6A4">
            <w:pPr>
              <w:ind w:firstLine="0"/>
              <w:jc w:val="center"/>
            </w:pPr>
            <w:r>
              <w:rPr>
                <w:rFonts w:ascii="Times New Roman" w:hAnsi="Times New Roman" w:eastAsia="宋体"/>
                <w:b w:val="0"/>
                <w:bCs w:val="0"/>
                <w:color w:val="000000"/>
                <w:sz w:val="21"/>
                <w:szCs w:val="21"/>
              </w:rPr>
              <w:t>基础模型</w:t>
            </w:r>
          </w:p>
        </w:tc>
        <w:tc>
          <w:tcPr>
            <w:tcW w:w="4535" w:type="dxa"/>
            <w:tcBorders>
              <w:top w:val="nil"/>
              <w:left w:val="nil"/>
              <w:bottom w:val="nil"/>
              <w:right w:val="nil"/>
            </w:tcBorders>
            <w:shd w:val="clear" w:color="auto" w:fill="FFFFFF"/>
            <w:tcMar>
              <w:top w:w="80" w:type="dxa"/>
              <w:left w:w="120" w:type="dxa"/>
              <w:bottom w:w="80" w:type="dxa"/>
              <w:right w:w="120" w:type="dxa"/>
            </w:tcMar>
          </w:tcPr>
          <w:p w14:paraId="1E48CF23">
            <w:pPr>
              <w:ind w:firstLine="0"/>
              <w:jc w:val="center"/>
            </w:pPr>
            <w:r>
              <w:rPr>
                <w:rFonts w:ascii="Times New Roman" w:hAnsi="Times New Roman" w:eastAsia="宋体"/>
                <w:b w:val="0"/>
                <w:bCs w:val="0"/>
                <w:color w:val="000000"/>
                <w:sz w:val="21"/>
                <w:szCs w:val="21"/>
              </w:rPr>
              <w:t>MoHub 四旋翼模型 (model/2355)</w:t>
            </w:r>
          </w:p>
        </w:tc>
      </w:tr>
      <w:tr w14:paraId="4FF91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14C6871C">
            <w:pPr>
              <w:ind w:firstLine="0"/>
              <w:jc w:val="center"/>
            </w:pPr>
            <w:r>
              <w:rPr>
                <w:rFonts w:ascii="Times New Roman" w:hAnsi="Times New Roman" w:eastAsia="宋体"/>
                <w:b w:val="0"/>
                <w:bCs w:val="0"/>
                <w:color w:val="000000"/>
                <w:sz w:val="21"/>
                <w:szCs w:val="21"/>
              </w:rPr>
              <w:t>求解器算法</w:t>
            </w:r>
          </w:p>
        </w:tc>
        <w:tc>
          <w:tcPr>
            <w:tcW w:w="4535" w:type="dxa"/>
            <w:tcBorders>
              <w:top w:val="nil"/>
              <w:left w:val="nil"/>
              <w:bottom w:val="nil"/>
              <w:right w:val="nil"/>
            </w:tcBorders>
            <w:shd w:val="clear" w:color="auto" w:fill="FFFFFF"/>
            <w:tcMar>
              <w:top w:w="80" w:type="dxa"/>
              <w:left w:w="120" w:type="dxa"/>
              <w:bottom w:w="80" w:type="dxa"/>
              <w:right w:w="120" w:type="dxa"/>
            </w:tcMar>
          </w:tcPr>
          <w:p w14:paraId="755B4753">
            <w:pPr>
              <w:ind w:firstLine="0"/>
              <w:jc w:val="center"/>
            </w:pPr>
            <w:r>
              <w:rPr>
                <w:rFonts w:ascii="Times New Roman" w:hAnsi="Times New Roman" w:eastAsia="宋体"/>
                <w:b w:val="0"/>
                <w:bCs w:val="0"/>
                <w:color w:val="000000"/>
                <w:sz w:val="21"/>
                <w:szCs w:val="21"/>
              </w:rPr>
              <w:t>Dassl</w:t>
            </w:r>
          </w:p>
        </w:tc>
      </w:tr>
      <w:tr w14:paraId="42168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3A24FADE">
            <w:pPr>
              <w:ind w:firstLine="0"/>
              <w:jc w:val="center"/>
            </w:pPr>
            <w:r>
              <w:rPr>
                <w:rFonts w:ascii="Times New Roman" w:hAnsi="Times New Roman" w:eastAsia="宋体"/>
                <w:b w:val="0"/>
                <w:bCs w:val="0"/>
                <w:color w:val="000000"/>
                <w:sz w:val="21"/>
                <w:szCs w:val="21"/>
              </w:rPr>
              <w:t>采样间隔</w:t>
            </w:r>
          </w:p>
        </w:tc>
        <w:tc>
          <w:tcPr>
            <w:tcW w:w="4535" w:type="dxa"/>
            <w:tcBorders>
              <w:top w:val="nil"/>
              <w:left w:val="nil"/>
              <w:bottom w:val="nil"/>
              <w:right w:val="nil"/>
            </w:tcBorders>
            <w:shd w:val="clear" w:color="auto" w:fill="FFFFFF"/>
            <w:tcMar>
              <w:top w:w="80" w:type="dxa"/>
              <w:left w:w="120" w:type="dxa"/>
              <w:bottom w:w="80" w:type="dxa"/>
              <w:right w:w="120" w:type="dxa"/>
            </w:tcMar>
          </w:tcPr>
          <w:p w14:paraId="0ED613E1">
            <w:pPr>
              <w:ind w:firstLine="0"/>
              <w:jc w:val="center"/>
            </w:pPr>
            <w:r>
              <w:rPr>
                <w:rFonts w:ascii="Times New Roman" w:hAnsi="Times New Roman" w:eastAsia="宋体"/>
                <w:b w:val="0"/>
                <w:bCs w:val="0"/>
                <w:color w:val="000000"/>
                <w:sz w:val="21"/>
                <w:szCs w:val="21"/>
              </w:rPr>
              <w:t>0.01 s</w:t>
            </w:r>
          </w:p>
        </w:tc>
      </w:tr>
      <w:tr w14:paraId="33D81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61FEA669">
            <w:pPr>
              <w:ind w:firstLine="0"/>
              <w:jc w:val="center"/>
            </w:pPr>
            <w:r>
              <w:rPr>
                <w:rFonts w:ascii="Times New Roman" w:hAnsi="Times New Roman" w:eastAsia="宋体"/>
                <w:b w:val="0"/>
                <w:bCs w:val="0"/>
                <w:color w:val="000000"/>
                <w:sz w:val="21"/>
                <w:szCs w:val="21"/>
              </w:rPr>
              <w:t>容差</w:t>
            </w:r>
          </w:p>
        </w:tc>
        <w:tc>
          <w:tcPr>
            <w:tcW w:w="4535" w:type="dxa"/>
            <w:tcBorders>
              <w:top w:val="nil"/>
              <w:left w:val="nil"/>
              <w:bottom w:val="nil"/>
              <w:right w:val="nil"/>
            </w:tcBorders>
            <w:shd w:val="clear" w:color="auto" w:fill="FFFFFF"/>
            <w:tcMar>
              <w:top w:w="80" w:type="dxa"/>
              <w:left w:w="120" w:type="dxa"/>
              <w:bottom w:w="80" w:type="dxa"/>
              <w:right w:w="120" w:type="dxa"/>
            </w:tcMar>
          </w:tcPr>
          <w:p w14:paraId="12F91474">
            <w:pPr>
              <w:ind w:firstLine="0"/>
              <w:jc w:val="center"/>
            </w:pPr>
            <w:r>
              <w:rPr>
                <w:rFonts w:ascii="Times New Roman" w:hAnsi="Times New Roman" w:eastAsia="宋体"/>
                <w:b w:val="0"/>
                <w:bCs w:val="0"/>
                <w:color w:val="000000"/>
                <w:sz w:val="21"/>
                <w:szCs w:val="21"/>
              </w:rPr>
              <w:t>0.0001</w:t>
            </w:r>
          </w:p>
        </w:tc>
      </w:tr>
      <w:tr w14:paraId="68ECB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1591CB7B">
            <w:pPr>
              <w:ind w:firstLine="0"/>
              <w:jc w:val="center"/>
            </w:pPr>
            <w:r>
              <w:rPr>
                <w:rFonts w:ascii="Times New Roman" w:hAnsi="Times New Roman" w:eastAsia="宋体"/>
                <w:b w:val="0"/>
                <w:bCs w:val="0"/>
                <w:color w:val="000000"/>
                <w:sz w:val="21"/>
                <w:szCs w:val="21"/>
              </w:rPr>
              <w:t>姿态安全阈值</w:t>
            </w:r>
          </w:p>
        </w:tc>
        <w:tc>
          <w:tcPr>
            <w:tcW w:w="4535" w:type="dxa"/>
            <w:tcBorders>
              <w:top w:val="nil"/>
              <w:left w:val="nil"/>
              <w:bottom w:val="nil"/>
              <w:right w:val="nil"/>
            </w:tcBorders>
            <w:shd w:val="clear" w:color="auto" w:fill="FFFFFF"/>
            <w:tcMar>
              <w:top w:w="80" w:type="dxa"/>
              <w:left w:w="120" w:type="dxa"/>
              <w:bottom w:w="80" w:type="dxa"/>
              <w:right w:w="120" w:type="dxa"/>
            </w:tcMar>
          </w:tcPr>
          <w:p w14:paraId="18E1D5E7">
            <w:pPr>
              <w:ind w:firstLine="0"/>
              <w:jc w:val="center"/>
            </w:pPr>
            <w:r>
              <w:rPr>
                <w:rFonts w:ascii="Times New Roman" w:hAnsi="Times New Roman" w:eastAsia="宋体"/>
                <w:b w:val="0"/>
                <w:bCs w:val="0"/>
                <w:color w:val="000000"/>
                <w:sz w:val="21"/>
                <w:szCs w:val="21"/>
              </w:rPr>
              <w:t>15 度</w:t>
            </w:r>
          </w:p>
        </w:tc>
      </w:tr>
      <w:tr w14:paraId="420AA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44AFF3A3">
            <w:pPr>
              <w:ind w:firstLine="0"/>
              <w:jc w:val="center"/>
            </w:pPr>
            <w:r>
              <w:rPr>
                <w:rFonts w:ascii="Times New Roman" w:hAnsi="Times New Roman" w:eastAsia="宋体"/>
                <w:b w:val="0"/>
                <w:bCs w:val="0"/>
                <w:color w:val="000000"/>
                <w:sz w:val="21"/>
                <w:szCs w:val="21"/>
              </w:rPr>
              <w:t>爬升/螺旋模拟时间</w:t>
            </w:r>
          </w:p>
        </w:tc>
        <w:tc>
          <w:tcPr>
            <w:tcW w:w="4535" w:type="dxa"/>
            <w:tcBorders>
              <w:top w:val="nil"/>
              <w:left w:val="nil"/>
              <w:bottom w:val="nil"/>
              <w:right w:val="nil"/>
            </w:tcBorders>
            <w:shd w:val="clear" w:color="auto" w:fill="FFFFFF"/>
            <w:tcMar>
              <w:top w:w="80" w:type="dxa"/>
              <w:left w:w="120" w:type="dxa"/>
              <w:bottom w:w="80" w:type="dxa"/>
              <w:right w:w="120" w:type="dxa"/>
            </w:tcMar>
          </w:tcPr>
          <w:p w14:paraId="0D8D0F81">
            <w:pPr>
              <w:ind w:firstLine="0"/>
              <w:jc w:val="center"/>
            </w:pPr>
            <w:r>
              <w:rPr>
                <w:rFonts w:ascii="Times New Roman" w:hAnsi="Times New Roman" w:eastAsia="宋体"/>
                <w:b w:val="0"/>
                <w:bCs w:val="0"/>
                <w:color w:val="000000"/>
                <w:sz w:val="21"/>
                <w:szCs w:val="21"/>
              </w:rPr>
              <w:t>0-50 秒</w:t>
            </w:r>
          </w:p>
        </w:tc>
      </w:tr>
      <w:tr w14:paraId="7BCAB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single" w:color="000000" w:sz="12" w:space="0"/>
              <w:right w:val="nil"/>
            </w:tcBorders>
            <w:shd w:val="clear" w:color="auto" w:fill="FFFFFF"/>
            <w:tcMar>
              <w:top w:w="80" w:type="dxa"/>
              <w:left w:w="120" w:type="dxa"/>
              <w:bottom w:w="80" w:type="dxa"/>
              <w:right w:w="120" w:type="dxa"/>
            </w:tcMar>
          </w:tcPr>
          <w:p w14:paraId="3985990C">
            <w:pPr>
              <w:ind w:firstLine="0"/>
              <w:jc w:val="center"/>
            </w:pPr>
            <w:r>
              <w:rPr>
                <w:rFonts w:ascii="Times New Roman" w:hAnsi="Times New Roman" w:eastAsia="宋体"/>
                <w:b w:val="0"/>
                <w:bCs w:val="0"/>
                <w:color w:val="000000"/>
                <w:sz w:val="21"/>
                <w:szCs w:val="21"/>
              </w:rPr>
              <w:t>“8”字飞行模拟时间</w:t>
            </w:r>
          </w:p>
        </w:tc>
        <w:tc>
          <w:tcPr>
            <w:tcW w:w="4535" w:type="dxa"/>
            <w:tcBorders>
              <w:top w:val="nil"/>
              <w:left w:val="nil"/>
              <w:bottom w:val="single" w:color="000000" w:sz="12" w:space="0"/>
              <w:right w:val="nil"/>
            </w:tcBorders>
            <w:shd w:val="clear" w:color="auto" w:fill="FFFFFF"/>
            <w:tcMar>
              <w:top w:w="80" w:type="dxa"/>
              <w:left w:w="120" w:type="dxa"/>
              <w:bottom w:w="80" w:type="dxa"/>
              <w:right w:w="120" w:type="dxa"/>
            </w:tcMar>
          </w:tcPr>
          <w:p w14:paraId="7C5DE776">
            <w:pPr>
              <w:ind w:firstLine="0"/>
              <w:jc w:val="center"/>
            </w:pPr>
            <w:r>
              <w:rPr>
                <w:rFonts w:ascii="Times New Roman" w:hAnsi="Times New Roman" w:eastAsia="宋体"/>
                <w:b w:val="0"/>
                <w:bCs w:val="0"/>
                <w:color w:val="000000"/>
                <w:sz w:val="21"/>
                <w:szCs w:val="21"/>
              </w:rPr>
              <w:t>0-120 秒</w:t>
            </w:r>
          </w:p>
        </w:tc>
      </w:tr>
    </w:tbl>
    <w:p w14:paraId="2828B071">
      <w:pPr>
        <w:pStyle w:val="3"/>
        <w:spacing w:before="180" w:after="90" w:line="360" w:lineRule="auto"/>
        <w:ind w:firstLine="0"/>
        <w:jc w:val="left"/>
        <w:rPr>
          <w:rFonts w:ascii="Times New Roman" w:hAnsi="Times New Roman" w:eastAsia="黑体"/>
          <w:b/>
          <w:bCs/>
          <w:color w:val="000000"/>
          <w:sz w:val="30"/>
          <w:szCs w:val="30"/>
        </w:rPr>
      </w:pPr>
    </w:p>
    <w:p w14:paraId="19F38E4F">
      <w:pPr>
        <w:pStyle w:val="3"/>
        <w:spacing w:before="180" w:after="90" w:line="360" w:lineRule="auto"/>
        <w:ind w:firstLine="0"/>
        <w:jc w:val="left"/>
      </w:pPr>
      <w:r>
        <w:rPr>
          <w:rFonts w:ascii="Times New Roman" w:hAnsi="Times New Roman" w:eastAsia="黑体"/>
          <w:b/>
          <w:bCs/>
          <w:color w:val="000000"/>
          <w:sz w:val="30"/>
          <w:szCs w:val="30"/>
        </w:rPr>
        <w:t>3. 文件结构与环境</w:t>
      </w:r>
    </w:p>
    <w:p w14:paraId="58D7CA02">
      <w:pPr>
        <w:pStyle w:val="4"/>
        <w:spacing w:before="120" w:after="60" w:line="360" w:lineRule="auto"/>
        <w:ind w:firstLine="0"/>
        <w:jc w:val="left"/>
      </w:pPr>
      <w:r>
        <w:rPr>
          <w:rFonts w:ascii="Times New Roman" w:hAnsi="Times New Roman" w:eastAsia="黑体"/>
          <w:b/>
          <w:bCs/>
          <w:color w:val="000000"/>
          <w:sz w:val="24"/>
          <w:szCs w:val="24"/>
        </w:rPr>
        <w:t>3.1 交付包结构</w:t>
      </w:r>
    </w:p>
    <w:p w14:paraId="77C8C231">
      <w:pPr>
        <w:spacing w:line="360" w:lineRule="auto"/>
        <w:ind w:firstLine="480"/>
      </w:pPr>
      <w:r>
        <w:rPr>
          <w:color w:val="000000"/>
        </w:rPr>
        <w:t>交付包分为五个主要目录，每个目录各司其职：</w:t>
      </w:r>
    </w:p>
    <w:tbl>
      <w:tblPr>
        <w:tblStyle w:val="11"/>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535"/>
        <w:gridCol w:w="4535"/>
      </w:tblGrid>
      <w:tr w14:paraId="6E360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3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12214A54">
            <w:pPr>
              <w:ind w:firstLine="0"/>
              <w:jc w:val="center"/>
            </w:pPr>
            <w:r>
              <w:rPr>
                <w:rFonts w:ascii="Times New Roman" w:hAnsi="Times New Roman" w:eastAsia="宋体"/>
                <w:b/>
                <w:bCs/>
                <w:color w:val="000000"/>
                <w:sz w:val="21"/>
                <w:szCs w:val="21"/>
              </w:rPr>
              <w:t>目录/文件</w:t>
            </w:r>
          </w:p>
        </w:tc>
        <w:tc>
          <w:tcPr>
            <w:tcW w:w="453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7C08E953">
            <w:pPr>
              <w:ind w:firstLine="0"/>
              <w:jc w:val="center"/>
            </w:pPr>
            <w:r>
              <w:rPr>
                <w:rFonts w:ascii="Times New Roman" w:hAnsi="Times New Roman" w:eastAsia="宋体"/>
                <w:b/>
                <w:bCs/>
                <w:color w:val="000000"/>
                <w:sz w:val="21"/>
                <w:szCs w:val="21"/>
              </w:rPr>
              <w:t>描述</w:t>
            </w:r>
          </w:p>
        </w:tc>
      </w:tr>
      <w:tr w14:paraId="6DC6A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18812BC8">
            <w:pPr>
              <w:ind w:firstLine="0"/>
              <w:jc w:val="center"/>
            </w:pPr>
            <w:r>
              <w:rPr>
                <w:rFonts w:ascii="Times New Roman" w:hAnsi="Times New Roman" w:eastAsia="宋体"/>
                <w:b w:val="0"/>
                <w:bCs w:val="0"/>
                <w:color w:val="000000"/>
                <w:sz w:val="21"/>
                <w:szCs w:val="21"/>
              </w:rPr>
              <w:t>01_Report_Manual/</w:t>
            </w:r>
          </w:p>
        </w:tc>
        <w:tc>
          <w:tcPr>
            <w:tcW w:w="4535" w:type="dxa"/>
            <w:tcBorders>
              <w:top w:val="nil"/>
              <w:left w:val="nil"/>
              <w:bottom w:val="nil"/>
              <w:right w:val="nil"/>
            </w:tcBorders>
            <w:shd w:val="clear" w:color="auto" w:fill="FFFFFF"/>
            <w:tcMar>
              <w:top w:w="80" w:type="dxa"/>
              <w:left w:w="120" w:type="dxa"/>
              <w:bottom w:w="80" w:type="dxa"/>
              <w:right w:w="120" w:type="dxa"/>
            </w:tcMar>
          </w:tcPr>
          <w:p w14:paraId="11BE2529">
            <w:pPr>
              <w:ind w:firstLine="0"/>
              <w:jc w:val="center"/>
            </w:pPr>
            <w:r>
              <w:rPr>
                <w:rFonts w:ascii="Times New Roman" w:hAnsi="Times New Roman" w:eastAsia="宋体"/>
                <w:b w:val="0"/>
                <w:bCs w:val="0"/>
                <w:color w:val="000000"/>
                <w:sz w:val="21"/>
                <w:szCs w:val="21"/>
              </w:rPr>
              <w:t>仿真报告和用户手册文档</w:t>
            </w:r>
          </w:p>
        </w:tc>
      </w:tr>
      <w:tr w14:paraId="23B4B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7706E8A4">
            <w:pPr>
              <w:ind w:firstLine="0"/>
              <w:jc w:val="center"/>
            </w:pPr>
            <w:r>
              <w:rPr>
                <w:rFonts w:ascii="Times New Roman" w:hAnsi="Times New Roman" w:eastAsia="宋体"/>
                <w:b w:val="0"/>
                <w:bCs w:val="0"/>
                <w:color w:val="000000"/>
                <w:sz w:val="21"/>
                <w:szCs w:val="21"/>
              </w:rPr>
              <w:t>02_Model_Code/QuadrotorModel.mo</w:t>
            </w:r>
          </w:p>
        </w:tc>
        <w:tc>
          <w:tcPr>
            <w:tcW w:w="4535" w:type="dxa"/>
            <w:tcBorders>
              <w:top w:val="nil"/>
              <w:left w:val="nil"/>
              <w:bottom w:val="nil"/>
              <w:right w:val="nil"/>
            </w:tcBorders>
            <w:shd w:val="clear" w:color="auto" w:fill="FFFFFF"/>
            <w:tcMar>
              <w:top w:w="80" w:type="dxa"/>
              <w:left w:w="120" w:type="dxa"/>
              <w:bottom w:w="80" w:type="dxa"/>
              <w:right w:w="120" w:type="dxa"/>
            </w:tcMar>
          </w:tcPr>
          <w:p w14:paraId="3BCB563A">
            <w:pPr>
              <w:ind w:firstLine="0"/>
              <w:jc w:val="center"/>
            </w:pPr>
            <w:r>
              <w:rPr>
                <w:rFonts w:ascii="Times New Roman" w:hAnsi="Times New Roman" w:eastAsia="宋体"/>
                <w:b w:val="0"/>
                <w:bCs w:val="0"/>
                <w:color w:val="000000"/>
                <w:sz w:val="21"/>
                <w:szCs w:val="21"/>
              </w:rPr>
              <w:t>主要单文件模型（推荐用于加载）</w:t>
            </w:r>
          </w:p>
        </w:tc>
      </w:tr>
      <w:tr w14:paraId="3EAC6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59F76381">
            <w:pPr>
              <w:ind w:firstLine="0"/>
              <w:jc w:val="center"/>
            </w:pPr>
            <w:r>
              <w:rPr>
                <w:rFonts w:ascii="Times New Roman" w:hAnsi="Times New Roman" w:eastAsia="宋体"/>
                <w:b w:val="0"/>
                <w:bCs w:val="0"/>
                <w:color w:val="000000"/>
                <w:sz w:val="21"/>
                <w:szCs w:val="21"/>
              </w:rPr>
              <w:t>02_Model_Code/QuadrotorTask.mo</w:t>
            </w:r>
          </w:p>
        </w:tc>
        <w:tc>
          <w:tcPr>
            <w:tcW w:w="4535" w:type="dxa"/>
            <w:tcBorders>
              <w:top w:val="nil"/>
              <w:left w:val="nil"/>
              <w:bottom w:val="nil"/>
              <w:right w:val="nil"/>
            </w:tcBorders>
            <w:shd w:val="clear" w:color="auto" w:fill="FFFFFF"/>
            <w:tcMar>
              <w:top w:w="80" w:type="dxa"/>
              <w:left w:w="120" w:type="dxa"/>
              <w:bottom w:w="80" w:type="dxa"/>
              <w:right w:w="120" w:type="dxa"/>
            </w:tcMar>
          </w:tcPr>
          <w:p w14:paraId="37DB7467">
            <w:pPr>
              <w:ind w:firstLine="0"/>
              <w:jc w:val="center"/>
            </w:pPr>
            <w:r>
              <w:rPr>
                <w:rFonts w:ascii="Times New Roman" w:hAnsi="Times New Roman" w:eastAsia="宋体"/>
                <w:b w:val="0"/>
                <w:bCs w:val="0"/>
                <w:color w:val="000000"/>
                <w:sz w:val="21"/>
                <w:szCs w:val="21"/>
              </w:rPr>
              <w:t>包含六个基线/增强型仿真模型的任务模型文件</w:t>
            </w:r>
          </w:p>
        </w:tc>
      </w:tr>
      <w:tr w14:paraId="636B4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13B35152">
            <w:pPr>
              <w:ind w:firstLine="0"/>
              <w:jc w:val="center"/>
            </w:pPr>
            <w:r>
              <w:rPr>
                <w:rFonts w:ascii="Times New Roman" w:hAnsi="Times New Roman" w:eastAsia="宋体"/>
                <w:b w:val="0"/>
                <w:bCs w:val="0"/>
                <w:color w:val="000000"/>
                <w:sz w:val="21"/>
                <w:szCs w:val="21"/>
              </w:rPr>
              <w:t>02_Model_Code/AdvancedSafetyControl.mo</w:t>
            </w:r>
          </w:p>
        </w:tc>
        <w:tc>
          <w:tcPr>
            <w:tcW w:w="4535" w:type="dxa"/>
            <w:tcBorders>
              <w:top w:val="nil"/>
              <w:left w:val="nil"/>
              <w:bottom w:val="nil"/>
              <w:right w:val="nil"/>
            </w:tcBorders>
            <w:shd w:val="clear" w:color="auto" w:fill="FFFFFF"/>
            <w:tcMar>
              <w:top w:w="80" w:type="dxa"/>
              <w:left w:w="120" w:type="dxa"/>
              <w:bottom w:w="80" w:type="dxa"/>
              <w:right w:w="120" w:type="dxa"/>
            </w:tcMar>
          </w:tcPr>
          <w:p w14:paraId="33FC440B">
            <w:pPr>
              <w:ind w:firstLine="0"/>
              <w:jc w:val="center"/>
            </w:pPr>
            <w:r>
              <w:rPr>
                <w:rFonts w:ascii="Times New Roman" w:hAnsi="Times New Roman" w:eastAsia="宋体"/>
                <w:b w:val="0"/>
                <w:bCs w:val="0"/>
                <w:color w:val="000000"/>
                <w:sz w:val="21"/>
                <w:szCs w:val="21"/>
              </w:rPr>
              <w:t>CBF、PPC、ERG 及姿态警告安全控制模块</w:t>
            </w:r>
          </w:p>
        </w:tc>
      </w:tr>
      <w:tr w14:paraId="216F6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08A6C175">
            <w:pPr>
              <w:ind w:firstLine="0"/>
              <w:jc w:val="center"/>
            </w:pPr>
            <w:r>
              <w:rPr>
                <w:rFonts w:ascii="Times New Roman" w:hAnsi="Times New Roman" w:eastAsia="宋体"/>
                <w:b w:val="0"/>
                <w:bCs w:val="0"/>
                <w:color w:val="000000"/>
                <w:sz w:val="21"/>
                <w:szCs w:val="21"/>
              </w:rPr>
              <w:t>02_Model_Code/UAVSyslabReferenceShaper.mo</w:t>
            </w:r>
          </w:p>
        </w:tc>
        <w:tc>
          <w:tcPr>
            <w:tcW w:w="4535" w:type="dxa"/>
            <w:tcBorders>
              <w:top w:val="nil"/>
              <w:left w:val="nil"/>
              <w:bottom w:val="nil"/>
              <w:right w:val="nil"/>
            </w:tcBorders>
            <w:shd w:val="clear" w:color="auto" w:fill="FFFFFF"/>
            <w:tcMar>
              <w:top w:w="80" w:type="dxa"/>
              <w:left w:w="120" w:type="dxa"/>
              <w:bottom w:w="80" w:type="dxa"/>
              <w:right w:w="120" w:type="dxa"/>
            </w:tcMar>
          </w:tcPr>
          <w:p w14:paraId="0AB0F790">
            <w:pPr>
              <w:ind w:firstLine="0"/>
              <w:jc w:val="center"/>
            </w:pPr>
            <w:r>
              <w:rPr>
                <w:rFonts w:ascii="Times New Roman" w:hAnsi="Times New Roman" w:eastAsia="宋体"/>
                <w:b w:val="0"/>
                <w:bCs w:val="0"/>
                <w:color w:val="000000"/>
                <w:sz w:val="21"/>
                <w:szCs w:val="21"/>
              </w:rPr>
              <w:t>Syslab 函数块示例。其脚本内容为静态限幅并对 x/y 乘 0.9 系数，不构成动态整形，且未接入控制回路</w:t>
            </w:r>
          </w:p>
        </w:tc>
      </w:tr>
      <w:tr w14:paraId="5E4B3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420BBE5A">
            <w:pPr>
              <w:ind w:firstLine="0"/>
              <w:jc w:val="center"/>
            </w:pPr>
            <w:r>
              <w:rPr>
                <w:rFonts w:ascii="Times New Roman" w:hAnsi="Times New Roman" w:eastAsia="宋体"/>
                <w:b w:val="0"/>
                <w:bCs w:val="0"/>
                <w:color w:val="000000"/>
                <w:sz w:val="21"/>
                <w:szCs w:val="21"/>
              </w:rPr>
              <w:t>02_Model_Code/UAVSysblockCommandAxis.mo</w:t>
            </w:r>
          </w:p>
        </w:tc>
        <w:tc>
          <w:tcPr>
            <w:tcW w:w="4535" w:type="dxa"/>
            <w:tcBorders>
              <w:top w:val="nil"/>
              <w:left w:val="nil"/>
              <w:bottom w:val="nil"/>
              <w:right w:val="nil"/>
            </w:tcBorders>
            <w:shd w:val="clear" w:color="auto" w:fill="FFFFFF"/>
            <w:tcMar>
              <w:top w:w="80" w:type="dxa"/>
              <w:left w:w="120" w:type="dxa"/>
              <w:bottom w:w="80" w:type="dxa"/>
              <w:right w:w="120" w:type="dxa"/>
            </w:tcMar>
          </w:tcPr>
          <w:p w14:paraId="3C594094">
            <w:pPr>
              <w:ind w:firstLine="0"/>
              <w:jc w:val="center"/>
            </w:pPr>
            <w:r>
              <w:rPr>
                <w:rFonts w:ascii="Times New Roman" w:hAnsi="Times New Roman" w:eastAsia="宋体"/>
                <w:b w:val="0"/>
                <w:bCs w:val="0"/>
                <w:color w:val="000000"/>
                <w:sz w:val="21"/>
                <w:szCs w:val="21"/>
              </w:rPr>
              <w:t>Sysblock 控制模块示例</w:t>
            </w:r>
          </w:p>
        </w:tc>
      </w:tr>
      <w:tr w14:paraId="028EA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1AA6764E">
            <w:pPr>
              <w:ind w:firstLine="0"/>
              <w:jc w:val="center"/>
            </w:pPr>
            <w:r>
              <w:rPr>
                <w:rFonts w:ascii="Times New Roman" w:hAnsi="Times New Roman" w:eastAsia="宋体"/>
                <w:b w:val="0"/>
                <w:bCs w:val="0"/>
                <w:color w:val="000000"/>
                <w:sz w:val="21"/>
                <w:szCs w:val="21"/>
              </w:rPr>
              <w:t>02_Model_Code/QuadrotorModel/package.mo</w:t>
            </w:r>
          </w:p>
        </w:tc>
        <w:tc>
          <w:tcPr>
            <w:tcW w:w="4535" w:type="dxa"/>
            <w:tcBorders>
              <w:top w:val="nil"/>
              <w:left w:val="nil"/>
              <w:bottom w:val="nil"/>
              <w:right w:val="nil"/>
            </w:tcBorders>
            <w:shd w:val="clear" w:color="auto" w:fill="FFFFFF"/>
            <w:tcMar>
              <w:top w:w="80" w:type="dxa"/>
              <w:left w:w="120" w:type="dxa"/>
              <w:bottom w:w="80" w:type="dxa"/>
              <w:right w:w="120" w:type="dxa"/>
            </w:tcMar>
          </w:tcPr>
          <w:p w14:paraId="0A7B9299">
            <w:pPr>
              <w:ind w:firstLine="0"/>
              <w:jc w:val="center"/>
            </w:pPr>
            <w:r>
              <w:rPr>
                <w:rFonts w:ascii="Times New Roman" w:hAnsi="Times New Roman" w:eastAsia="宋体"/>
                <w:b w:val="0"/>
                <w:bCs w:val="0"/>
                <w:color w:val="000000"/>
                <w:sz w:val="21"/>
                <w:szCs w:val="21"/>
              </w:rPr>
              <w:t>MoHub 基础四旋翼模型源代码</w:t>
            </w:r>
          </w:p>
        </w:tc>
      </w:tr>
      <w:tr w14:paraId="5B7ED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34FD119D">
            <w:pPr>
              <w:ind w:firstLine="0"/>
              <w:jc w:val="center"/>
            </w:pPr>
            <w:r>
              <w:rPr>
                <w:rFonts w:ascii="Times New Roman" w:hAnsi="Times New Roman" w:eastAsia="宋体"/>
                <w:b w:val="0"/>
                <w:bCs w:val="0"/>
                <w:color w:val="000000"/>
                <w:sz w:val="21"/>
                <w:szCs w:val="21"/>
              </w:rPr>
              <w:t>02_Model_Code/mworks_export_results.py</w:t>
            </w:r>
          </w:p>
        </w:tc>
        <w:tc>
          <w:tcPr>
            <w:tcW w:w="4535" w:type="dxa"/>
            <w:tcBorders>
              <w:top w:val="nil"/>
              <w:left w:val="nil"/>
              <w:bottom w:val="nil"/>
              <w:right w:val="nil"/>
            </w:tcBorders>
            <w:shd w:val="clear" w:color="auto" w:fill="FFFFFF"/>
            <w:tcMar>
              <w:top w:w="80" w:type="dxa"/>
              <w:left w:w="120" w:type="dxa"/>
              <w:bottom w:w="80" w:type="dxa"/>
              <w:right w:w="120" w:type="dxa"/>
            </w:tcMar>
          </w:tcPr>
          <w:p w14:paraId="40625272">
            <w:pPr>
              <w:ind w:firstLine="0"/>
              <w:jc w:val="center"/>
            </w:pPr>
            <w:r>
              <w:rPr>
                <w:rFonts w:ascii="Times New Roman" w:hAnsi="Times New Roman" w:eastAsia="宋体"/>
                <w:b w:val="0"/>
                <w:bCs w:val="0"/>
                <w:color w:val="000000"/>
                <w:sz w:val="21"/>
                <w:szCs w:val="21"/>
              </w:rPr>
              <w:t>批处理仿真和结果导出脚本（Syslab 数据接口）</w:t>
            </w:r>
          </w:p>
        </w:tc>
      </w:tr>
      <w:tr w14:paraId="512C7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3386B623">
            <w:pPr>
              <w:ind w:firstLine="0"/>
              <w:jc w:val="center"/>
            </w:pPr>
            <w:r>
              <w:rPr>
                <w:rFonts w:ascii="Times New Roman" w:hAnsi="Times New Roman" w:eastAsia="宋体"/>
                <w:b w:val="0"/>
                <w:bCs w:val="0"/>
                <w:color w:val="000000"/>
                <w:sz w:val="21"/>
                <w:szCs w:val="21"/>
              </w:rPr>
              <w:t>02_Model_Code/advanced_safety_intelligence_suite.py</w:t>
            </w:r>
          </w:p>
        </w:tc>
        <w:tc>
          <w:tcPr>
            <w:tcW w:w="4535" w:type="dxa"/>
            <w:tcBorders>
              <w:top w:val="nil"/>
              <w:left w:val="nil"/>
              <w:bottom w:val="nil"/>
              <w:right w:val="nil"/>
            </w:tcBorders>
            <w:shd w:val="clear" w:color="auto" w:fill="FFFFFF"/>
            <w:tcMar>
              <w:top w:w="80" w:type="dxa"/>
              <w:left w:w="120" w:type="dxa"/>
              <w:bottom w:w="80" w:type="dxa"/>
              <w:right w:w="120" w:type="dxa"/>
            </w:tcMar>
          </w:tcPr>
          <w:p w14:paraId="560B25B4">
            <w:pPr>
              <w:ind w:firstLine="0"/>
              <w:jc w:val="center"/>
            </w:pPr>
            <w:r>
              <w:rPr>
                <w:rFonts w:ascii="Times New Roman" w:hAnsi="Times New Roman" w:eastAsia="宋体"/>
                <w:b w:val="0"/>
                <w:bCs w:val="0"/>
                <w:color w:val="000000"/>
                <w:sz w:val="21"/>
                <w:szCs w:val="21"/>
              </w:rPr>
              <w:t>高级功能验证脚本</w:t>
            </w:r>
          </w:p>
        </w:tc>
      </w:tr>
      <w:tr w14:paraId="522DE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57C08C73">
            <w:pPr>
              <w:ind w:firstLine="0"/>
              <w:jc w:val="center"/>
            </w:pPr>
            <w:r>
              <w:rPr>
                <w:rFonts w:ascii="Times New Roman" w:hAnsi="Times New Roman" w:eastAsia="宋体"/>
                <w:b w:val="0"/>
                <w:bCs w:val="0"/>
                <w:color w:val="000000"/>
                <w:sz w:val="21"/>
                <w:szCs w:val="21"/>
              </w:rPr>
              <w:t>03_Simulation_Results/</w:t>
            </w:r>
          </w:p>
        </w:tc>
        <w:tc>
          <w:tcPr>
            <w:tcW w:w="4535" w:type="dxa"/>
            <w:tcBorders>
              <w:top w:val="nil"/>
              <w:left w:val="nil"/>
              <w:bottom w:val="nil"/>
              <w:right w:val="nil"/>
            </w:tcBorders>
            <w:shd w:val="clear" w:color="auto" w:fill="FFFFFF"/>
            <w:tcMar>
              <w:top w:w="80" w:type="dxa"/>
              <w:left w:w="120" w:type="dxa"/>
              <w:bottom w:w="80" w:type="dxa"/>
              <w:right w:w="120" w:type="dxa"/>
            </w:tcMar>
          </w:tcPr>
          <w:p w14:paraId="0A51544A">
            <w:pPr>
              <w:ind w:firstLine="0"/>
              <w:jc w:val="center"/>
            </w:pPr>
            <w:r>
              <w:rPr>
                <w:rFonts w:ascii="Times New Roman" w:hAnsi="Times New Roman" w:eastAsia="宋体"/>
                <w:b w:val="0"/>
                <w:bCs w:val="0"/>
                <w:color w:val="000000"/>
                <w:sz w:val="21"/>
                <w:szCs w:val="21"/>
              </w:rPr>
              <w:t>CSV 数据、JSON 指标及结果图表</w:t>
            </w:r>
          </w:p>
        </w:tc>
      </w:tr>
      <w:tr w14:paraId="3B7D2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0F0751C0">
            <w:pPr>
              <w:ind w:firstLine="0"/>
              <w:jc w:val="center"/>
            </w:pPr>
            <w:r>
              <w:rPr>
                <w:rFonts w:ascii="Times New Roman" w:hAnsi="Times New Roman" w:eastAsia="宋体"/>
                <w:b w:val="0"/>
                <w:bCs w:val="0"/>
                <w:color w:val="000000"/>
                <w:sz w:val="21"/>
                <w:szCs w:val="21"/>
              </w:rPr>
              <w:t>04_Advanced_Validation/</w:t>
            </w:r>
          </w:p>
        </w:tc>
        <w:tc>
          <w:tcPr>
            <w:tcW w:w="4535" w:type="dxa"/>
            <w:tcBorders>
              <w:top w:val="nil"/>
              <w:left w:val="nil"/>
              <w:bottom w:val="nil"/>
              <w:right w:val="nil"/>
            </w:tcBorders>
            <w:shd w:val="clear" w:color="auto" w:fill="FFFFFF"/>
            <w:tcMar>
              <w:top w:w="80" w:type="dxa"/>
              <w:left w:w="120" w:type="dxa"/>
              <w:bottom w:w="80" w:type="dxa"/>
              <w:right w:w="120" w:type="dxa"/>
            </w:tcMar>
          </w:tcPr>
          <w:p w14:paraId="3975D862">
            <w:pPr>
              <w:ind w:firstLine="0"/>
              <w:jc w:val="center"/>
            </w:pPr>
            <w:r>
              <w:rPr>
                <w:rFonts w:ascii="Times New Roman" w:hAnsi="Times New Roman" w:eastAsia="宋体"/>
                <w:b w:val="0"/>
                <w:bCs w:val="0"/>
                <w:color w:val="000000"/>
                <w:sz w:val="21"/>
                <w:szCs w:val="21"/>
              </w:rPr>
              <w:t>CBF/PPC/ERG回放、蒙特卡洛模拟、NSGA-II、油层形成及诊断</w:t>
            </w:r>
          </w:p>
        </w:tc>
      </w:tr>
      <w:tr w14:paraId="4B3BA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single" w:color="000000" w:sz="12" w:space="0"/>
              <w:right w:val="nil"/>
            </w:tcBorders>
            <w:shd w:val="clear" w:color="auto" w:fill="FFFFFF"/>
            <w:tcMar>
              <w:top w:w="80" w:type="dxa"/>
              <w:left w:w="120" w:type="dxa"/>
              <w:bottom w:w="80" w:type="dxa"/>
              <w:right w:w="120" w:type="dxa"/>
            </w:tcMar>
          </w:tcPr>
          <w:p w14:paraId="2E3DE09C">
            <w:pPr>
              <w:ind w:firstLine="0"/>
              <w:jc w:val="center"/>
            </w:pPr>
            <w:r>
              <w:rPr>
                <w:rFonts w:ascii="Times New Roman" w:hAnsi="Times New Roman" w:eastAsia="宋体"/>
                <w:b w:val="0"/>
                <w:bCs w:val="0"/>
                <w:color w:val="000000"/>
                <w:sz w:val="21"/>
                <w:szCs w:val="21"/>
              </w:rPr>
              <w:t>05_STL/</w:t>
            </w:r>
          </w:p>
        </w:tc>
        <w:tc>
          <w:tcPr>
            <w:tcW w:w="4535" w:type="dxa"/>
            <w:tcBorders>
              <w:top w:val="nil"/>
              <w:left w:val="nil"/>
              <w:bottom w:val="single" w:color="000000" w:sz="12" w:space="0"/>
              <w:right w:val="nil"/>
            </w:tcBorders>
            <w:shd w:val="clear" w:color="auto" w:fill="FFFFFF"/>
            <w:tcMar>
              <w:top w:w="80" w:type="dxa"/>
              <w:left w:w="120" w:type="dxa"/>
              <w:bottom w:w="80" w:type="dxa"/>
              <w:right w:w="120" w:type="dxa"/>
            </w:tcMar>
          </w:tcPr>
          <w:p w14:paraId="192DA1D9">
            <w:pPr>
              <w:ind w:firstLine="0"/>
              <w:jc w:val="center"/>
            </w:pPr>
            <w:r>
              <w:rPr>
                <w:rFonts w:ascii="Times New Roman" w:hAnsi="Times New Roman" w:eastAsia="宋体"/>
                <w:b w:val="0"/>
                <w:bCs w:val="0"/>
                <w:color w:val="000000"/>
                <w:sz w:val="21"/>
                <w:szCs w:val="21"/>
              </w:rPr>
              <w:t>无人机机身和螺旋桨的3D STL文件（DroneBody.stl、DroneBlade.stl、QuadBody.stl、QuadPropeller.stl）</w:t>
            </w:r>
          </w:p>
        </w:tc>
      </w:tr>
    </w:tbl>
    <w:p w14:paraId="402FD2D5">
      <w:pPr>
        <w:pStyle w:val="4"/>
        <w:spacing w:before="120" w:after="60" w:line="360" w:lineRule="auto"/>
        <w:ind w:firstLine="0"/>
        <w:jc w:val="left"/>
        <w:rPr>
          <w:rFonts w:ascii="Times New Roman" w:hAnsi="Times New Roman" w:eastAsia="黑体"/>
          <w:b/>
          <w:bCs/>
          <w:color w:val="000000"/>
          <w:sz w:val="24"/>
          <w:szCs w:val="24"/>
        </w:rPr>
      </w:pPr>
    </w:p>
    <w:p w14:paraId="1A3296D1">
      <w:pPr>
        <w:pStyle w:val="4"/>
        <w:spacing w:before="120" w:after="60" w:line="360" w:lineRule="auto"/>
        <w:ind w:firstLine="0"/>
        <w:jc w:val="left"/>
      </w:pPr>
      <w:r>
        <w:rPr>
          <w:rFonts w:ascii="Times New Roman" w:hAnsi="Times New Roman" w:eastAsia="黑体"/>
          <w:b/>
          <w:bCs/>
          <w:color w:val="000000"/>
          <w:sz w:val="24"/>
          <w:szCs w:val="24"/>
        </w:rPr>
        <w:t>3.2 软件环境要求</w:t>
      </w:r>
    </w:p>
    <w:tbl>
      <w:tblPr>
        <w:tblStyle w:val="11"/>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535"/>
        <w:gridCol w:w="4535"/>
      </w:tblGrid>
      <w:tr w14:paraId="77A30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3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298D5B72">
            <w:pPr>
              <w:ind w:firstLine="0"/>
              <w:jc w:val="center"/>
            </w:pPr>
            <w:r>
              <w:rPr>
                <w:rFonts w:ascii="Times New Roman" w:hAnsi="Times New Roman" w:eastAsia="宋体"/>
                <w:b/>
                <w:bCs/>
                <w:color w:val="000000"/>
                <w:sz w:val="21"/>
                <w:szCs w:val="21"/>
              </w:rPr>
              <w:t>要求</w:t>
            </w:r>
          </w:p>
        </w:tc>
        <w:tc>
          <w:tcPr>
            <w:tcW w:w="453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35DA0418">
            <w:pPr>
              <w:ind w:firstLine="0"/>
              <w:jc w:val="center"/>
            </w:pPr>
            <w:r>
              <w:rPr>
                <w:rFonts w:ascii="Times New Roman" w:hAnsi="Times New Roman" w:eastAsia="宋体"/>
                <w:b/>
                <w:bCs/>
                <w:color w:val="000000"/>
                <w:sz w:val="21"/>
                <w:szCs w:val="21"/>
              </w:rPr>
              <w:t>规格</w:t>
            </w:r>
          </w:p>
        </w:tc>
      </w:tr>
      <w:tr w14:paraId="13DE4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7E1757A9">
            <w:pPr>
              <w:ind w:firstLine="0"/>
              <w:jc w:val="center"/>
            </w:pPr>
            <w:r>
              <w:rPr>
                <w:rFonts w:ascii="Times New Roman" w:hAnsi="Times New Roman" w:eastAsia="宋体"/>
                <w:b w:val="0"/>
                <w:bCs w:val="0"/>
                <w:color w:val="000000"/>
                <w:sz w:val="21"/>
                <w:szCs w:val="21"/>
              </w:rPr>
              <w:t>软件</w:t>
            </w:r>
          </w:p>
        </w:tc>
        <w:tc>
          <w:tcPr>
            <w:tcW w:w="4535" w:type="dxa"/>
            <w:tcBorders>
              <w:top w:val="nil"/>
              <w:left w:val="nil"/>
              <w:bottom w:val="nil"/>
              <w:right w:val="nil"/>
            </w:tcBorders>
            <w:shd w:val="clear" w:color="auto" w:fill="FFFFFF"/>
            <w:tcMar>
              <w:top w:w="80" w:type="dxa"/>
              <w:left w:w="120" w:type="dxa"/>
              <w:bottom w:w="80" w:type="dxa"/>
              <w:right w:w="120" w:type="dxa"/>
            </w:tcMar>
          </w:tcPr>
          <w:p w14:paraId="166DD968">
            <w:pPr>
              <w:ind w:firstLine="0"/>
              <w:jc w:val="center"/>
            </w:pPr>
            <w:r>
              <w:rPr>
                <w:rFonts w:ascii="Times New Roman" w:hAnsi="Times New Roman" w:eastAsia="宋体"/>
                <w:b w:val="0"/>
                <w:bCs w:val="0"/>
                <w:color w:val="000000"/>
                <w:sz w:val="21"/>
                <w:szCs w:val="21"/>
              </w:rPr>
              <w:t>支持 Modelica 模型的 MWorks/Sysplorer</w:t>
            </w:r>
          </w:p>
        </w:tc>
      </w:tr>
      <w:tr w14:paraId="355A6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5FF46C5B">
            <w:pPr>
              <w:ind w:firstLine="0"/>
              <w:jc w:val="center"/>
            </w:pPr>
            <w:r>
              <w:rPr>
                <w:rFonts w:ascii="Times New Roman" w:hAnsi="Times New Roman" w:eastAsia="宋体"/>
                <w:b w:val="0"/>
                <w:bCs w:val="0"/>
                <w:color w:val="000000"/>
                <w:sz w:val="21"/>
                <w:szCs w:val="21"/>
              </w:rPr>
              <w:t>推荐版本</w:t>
            </w:r>
          </w:p>
        </w:tc>
        <w:tc>
          <w:tcPr>
            <w:tcW w:w="4535" w:type="dxa"/>
            <w:tcBorders>
              <w:top w:val="nil"/>
              <w:left w:val="nil"/>
              <w:bottom w:val="nil"/>
              <w:right w:val="nil"/>
            </w:tcBorders>
            <w:shd w:val="clear" w:color="auto" w:fill="FFFFFF"/>
            <w:tcMar>
              <w:top w:w="80" w:type="dxa"/>
              <w:left w:w="120" w:type="dxa"/>
              <w:bottom w:w="80" w:type="dxa"/>
              <w:right w:w="120" w:type="dxa"/>
            </w:tcMar>
          </w:tcPr>
          <w:p w14:paraId="6720686B">
            <w:pPr>
              <w:ind w:firstLine="0"/>
              <w:jc w:val="center"/>
            </w:pPr>
            <w:r>
              <w:rPr>
                <w:rFonts w:ascii="Times New Roman" w:hAnsi="Times New Roman" w:eastAsia="宋体"/>
                <w:b w:val="0"/>
                <w:bCs w:val="0"/>
                <w:color w:val="000000"/>
                <w:sz w:val="21"/>
                <w:szCs w:val="21"/>
              </w:rPr>
              <w:t>MWORKS Sysplorer 2026a</w:t>
            </w:r>
          </w:p>
        </w:tc>
      </w:tr>
      <w:tr w14:paraId="14B4D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09510C0D">
            <w:pPr>
              <w:ind w:firstLine="0"/>
              <w:jc w:val="center"/>
            </w:pPr>
            <w:r>
              <w:rPr>
                <w:rFonts w:ascii="Times New Roman" w:hAnsi="Times New Roman" w:eastAsia="宋体"/>
                <w:b w:val="0"/>
                <w:bCs w:val="0"/>
                <w:color w:val="000000"/>
                <w:sz w:val="21"/>
                <w:szCs w:val="21"/>
              </w:rPr>
              <w:t>模型加载</w:t>
            </w:r>
          </w:p>
        </w:tc>
        <w:tc>
          <w:tcPr>
            <w:tcW w:w="4535" w:type="dxa"/>
            <w:tcBorders>
              <w:top w:val="nil"/>
              <w:left w:val="nil"/>
              <w:bottom w:val="nil"/>
              <w:right w:val="nil"/>
            </w:tcBorders>
            <w:shd w:val="clear" w:color="auto" w:fill="FFFFFF"/>
            <w:tcMar>
              <w:top w:w="80" w:type="dxa"/>
              <w:left w:w="120" w:type="dxa"/>
              <w:bottom w:w="80" w:type="dxa"/>
              <w:right w:w="120" w:type="dxa"/>
            </w:tcMar>
          </w:tcPr>
          <w:p w14:paraId="6F2341E0">
            <w:pPr>
              <w:ind w:firstLine="0"/>
              <w:jc w:val="center"/>
            </w:pPr>
            <w:r>
              <w:rPr>
                <w:rFonts w:ascii="Times New Roman" w:hAnsi="Times New Roman" w:eastAsia="宋体"/>
                <w:b w:val="0"/>
                <w:bCs w:val="0"/>
                <w:color w:val="000000"/>
                <w:sz w:val="21"/>
                <w:szCs w:val="21"/>
              </w:rPr>
              <w:t>直接加载 QuadrotorModel.mo（单文件，推荐）</w:t>
            </w:r>
          </w:p>
        </w:tc>
      </w:tr>
      <w:tr w14:paraId="65ECD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4AA7712D">
            <w:pPr>
              <w:ind w:firstLine="0"/>
              <w:jc w:val="center"/>
            </w:pPr>
            <w:r>
              <w:rPr>
                <w:rFonts w:ascii="Times New Roman" w:hAnsi="Times New Roman" w:eastAsia="宋体"/>
                <w:b w:val="0"/>
                <w:bCs w:val="0"/>
                <w:color w:val="000000"/>
                <w:sz w:val="21"/>
                <w:szCs w:val="21"/>
              </w:rPr>
              <w:t>替代加载方式</w:t>
            </w:r>
          </w:p>
        </w:tc>
        <w:tc>
          <w:tcPr>
            <w:tcW w:w="4535" w:type="dxa"/>
            <w:tcBorders>
              <w:top w:val="nil"/>
              <w:left w:val="nil"/>
              <w:bottom w:val="nil"/>
              <w:right w:val="nil"/>
            </w:tcBorders>
            <w:shd w:val="clear" w:color="auto" w:fill="FFFFFF"/>
            <w:tcMar>
              <w:top w:w="80" w:type="dxa"/>
              <w:left w:w="120" w:type="dxa"/>
              <w:bottom w:w="80" w:type="dxa"/>
              <w:right w:w="120" w:type="dxa"/>
            </w:tcMar>
          </w:tcPr>
          <w:p w14:paraId="0F170CFC">
            <w:pPr>
              <w:ind w:firstLine="0"/>
              <w:jc w:val="center"/>
            </w:pPr>
            <w:r>
              <w:rPr>
                <w:rFonts w:ascii="Times New Roman" w:hAnsi="Times New Roman" w:eastAsia="宋体"/>
                <w:b w:val="0"/>
                <w:bCs w:val="0"/>
                <w:color w:val="000000"/>
                <w:sz w:val="21"/>
                <w:szCs w:val="21"/>
              </w:rPr>
              <w:t>先加载 QuadrotorModel/package.mo，然后加载 QuadrotorTask.mo</w:t>
            </w:r>
          </w:p>
        </w:tc>
      </w:tr>
      <w:tr w14:paraId="4A589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78BFF2EA">
            <w:pPr>
              <w:ind w:firstLine="0"/>
              <w:jc w:val="center"/>
            </w:pPr>
            <w:r>
              <w:rPr>
                <w:rFonts w:ascii="Times New Roman" w:hAnsi="Times New Roman" w:eastAsia="宋体"/>
                <w:b w:val="0"/>
                <w:bCs w:val="0"/>
                <w:color w:val="000000"/>
                <w:sz w:val="21"/>
                <w:szCs w:val="21"/>
              </w:rPr>
              <w:t>路径要求</w:t>
            </w:r>
          </w:p>
        </w:tc>
        <w:tc>
          <w:tcPr>
            <w:tcW w:w="4535" w:type="dxa"/>
            <w:tcBorders>
              <w:top w:val="nil"/>
              <w:left w:val="nil"/>
              <w:bottom w:val="nil"/>
              <w:right w:val="nil"/>
            </w:tcBorders>
            <w:shd w:val="clear" w:color="auto" w:fill="FFFFFF"/>
            <w:tcMar>
              <w:top w:w="80" w:type="dxa"/>
              <w:left w:w="120" w:type="dxa"/>
              <w:bottom w:w="80" w:type="dxa"/>
              <w:right w:w="120" w:type="dxa"/>
            </w:tcMar>
          </w:tcPr>
          <w:p w14:paraId="5022B193">
            <w:pPr>
              <w:ind w:firstLine="0"/>
              <w:jc w:val="center"/>
            </w:pPr>
            <w:r>
              <w:rPr>
                <w:rFonts w:ascii="Times New Roman" w:hAnsi="Times New Roman" w:eastAsia="宋体"/>
                <w:b w:val="0"/>
                <w:bCs w:val="0"/>
                <w:color w:val="000000"/>
                <w:sz w:val="21"/>
                <w:szCs w:val="21"/>
              </w:rPr>
              <w:t>纯英文路径（不含中文字符或空格）</w:t>
            </w:r>
          </w:p>
        </w:tc>
      </w:tr>
      <w:tr w14:paraId="311C7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single" w:color="000000" w:sz="12" w:space="0"/>
              <w:right w:val="nil"/>
            </w:tcBorders>
            <w:shd w:val="clear" w:color="auto" w:fill="FFFFFF"/>
            <w:tcMar>
              <w:top w:w="80" w:type="dxa"/>
              <w:left w:w="120" w:type="dxa"/>
              <w:bottom w:w="80" w:type="dxa"/>
              <w:right w:w="120" w:type="dxa"/>
            </w:tcMar>
          </w:tcPr>
          <w:p w14:paraId="43C9DA05">
            <w:pPr>
              <w:ind w:firstLine="0"/>
              <w:jc w:val="center"/>
            </w:pPr>
            <w:r>
              <w:rPr>
                <w:rFonts w:ascii="Times New Roman" w:hAnsi="Times New Roman" w:eastAsia="宋体"/>
                <w:b w:val="0"/>
                <w:bCs w:val="0"/>
                <w:color w:val="000000"/>
                <w:sz w:val="21"/>
                <w:szCs w:val="21"/>
              </w:rPr>
              <w:t>路径示例</w:t>
            </w:r>
          </w:p>
        </w:tc>
        <w:tc>
          <w:tcPr>
            <w:tcW w:w="4535" w:type="dxa"/>
            <w:tcBorders>
              <w:top w:val="nil"/>
              <w:left w:val="nil"/>
              <w:bottom w:val="single" w:color="000000" w:sz="12" w:space="0"/>
              <w:right w:val="nil"/>
            </w:tcBorders>
            <w:shd w:val="clear" w:color="auto" w:fill="FFFFFF"/>
            <w:tcMar>
              <w:top w:w="80" w:type="dxa"/>
              <w:left w:w="120" w:type="dxa"/>
              <w:bottom w:w="80" w:type="dxa"/>
              <w:right w:w="120" w:type="dxa"/>
            </w:tcMar>
          </w:tcPr>
          <w:p w14:paraId="0D5EDCB4">
            <w:pPr>
              <w:ind w:firstLine="0"/>
              <w:jc w:val="center"/>
            </w:pPr>
            <w:r>
              <w:rPr>
                <w:rFonts w:ascii="Times New Roman" w:hAnsi="Times New Roman" w:eastAsia="宋体"/>
                <w:b w:val="0"/>
                <w:bCs w:val="0"/>
                <w:color w:val="000000"/>
                <w:sz w:val="21"/>
                <w:szCs w:val="21"/>
              </w:rPr>
              <w:t>D:\MWorksUAVDelivery_Client_Final</w:t>
            </w:r>
          </w:p>
        </w:tc>
      </w:tr>
    </w:tbl>
    <w:p w14:paraId="3FB004C1">
      <w:pPr>
        <w:pStyle w:val="4"/>
        <w:spacing w:before="120" w:after="60" w:line="360" w:lineRule="auto"/>
        <w:ind w:firstLine="0"/>
        <w:jc w:val="left"/>
        <w:rPr>
          <w:rFonts w:ascii="Times New Roman" w:hAnsi="Times New Roman" w:eastAsia="黑体"/>
          <w:b/>
          <w:bCs/>
          <w:color w:val="000000"/>
          <w:sz w:val="24"/>
          <w:szCs w:val="24"/>
        </w:rPr>
      </w:pPr>
    </w:p>
    <w:p w14:paraId="77246D0C">
      <w:pPr>
        <w:pStyle w:val="4"/>
        <w:spacing w:before="120" w:after="60" w:line="360" w:lineRule="auto"/>
        <w:ind w:firstLine="0"/>
        <w:jc w:val="left"/>
      </w:pPr>
      <w:r>
        <w:rPr>
          <w:rFonts w:ascii="Times New Roman" w:hAnsi="Times New Roman" w:eastAsia="黑体"/>
          <w:b/>
          <w:bCs/>
          <w:color w:val="000000"/>
          <w:sz w:val="24"/>
          <w:szCs w:val="24"/>
        </w:rPr>
        <w:t>3.3 安装与设置</w:t>
      </w:r>
    </w:p>
    <w:p w14:paraId="380A5B7F">
      <w:pPr>
        <w:spacing w:line="360" w:lineRule="auto"/>
        <w:ind w:firstLine="480"/>
      </w:pPr>
      <w:r>
        <w:rPr>
          <w:color w:val="000000"/>
        </w:rPr>
        <w:t>要设置仿真环境，请按照以下步骤操作：(1) 将完整的交付包解压到本地驱动器上的纯英文文件路径中；(2) 确保 MWorks/Sysplorer 2026a 已正确安装并激活；(3) 验证解压后目录结构是否完整保留，特别是模型文件与资源文件之间的相对路径。</w:t>
      </w:r>
    </w:p>
    <w:p w14:paraId="0FC77956">
      <w:pPr>
        <w:pStyle w:val="3"/>
        <w:spacing w:before="180" w:after="90" w:line="360" w:lineRule="auto"/>
        <w:ind w:firstLine="0"/>
        <w:jc w:val="left"/>
      </w:pPr>
      <w:r>
        <w:rPr>
          <w:rFonts w:ascii="Times New Roman" w:hAnsi="Times New Roman" w:eastAsia="黑体"/>
          <w:b/>
          <w:bCs/>
          <w:color w:val="000000"/>
          <w:sz w:val="30"/>
          <w:szCs w:val="30"/>
        </w:rPr>
        <w:t>4. 快速入门指南</w:t>
      </w:r>
    </w:p>
    <w:p w14:paraId="3D5BE173">
      <w:pPr>
        <w:pStyle w:val="4"/>
        <w:spacing w:before="120" w:after="60" w:line="360" w:lineRule="auto"/>
        <w:ind w:firstLine="0"/>
        <w:jc w:val="left"/>
      </w:pPr>
      <w:r>
        <w:rPr>
          <w:rFonts w:ascii="Times New Roman" w:hAnsi="Times New Roman" w:eastAsia="黑体"/>
          <w:b/>
          <w:bCs/>
          <w:color w:val="000000"/>
          <w:sz w:val="24"/>
          <w:szCs w:val="24"/>
        </w:rPr>
        <w:t>4.1 快速重现工作流程</w:t>
      </w:r>
    </w:p>
    <w:p w14:paraId="510A1EE9">
      <w:pPr>
        <w:spacing w:line="360" w:lineRule="auto"/>
        <w:ind w:firstLine="480"/>
      </w:pPr>
      <w:r>
        <w:rPr>
          <w:color w:val="000000"/>
        </w:rPr>
        <w:t>下表提供了重现核心仿真结果所需的最低步骤：</w:t>
      </w:r>
    </w:p>
    <w:tbl>
      <w:tblPr>
        <w:tblStyle w:val="11"/>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210"/>
        <w:gridCol w:w="3808"/>
        <w:gridCol w:w="3052"/>
      </w:tblGrid>
      <w:tr w14:paraId="6CD6A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10"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3892668F">
            <w:pPr>
              <w:ind w:firstLine="0"/>
              <w:jc w:val="center"/>
            </w:pPr>
            <w:r>
              <w:rPr>
                <w:rFonts w:ascii="Times New Roman" w:hAnsi="Times New Roman" w:eastAsia="宋体"/>
                <w:b/>
                <w:bCs/>
                <w:color w:val="000000"/>
                <w:sz w:val="21"/>
                <w:szCs w:val="21"/>
              </w:rPr>
              <w:t>步骤</w:t>
            </w:r>
          </w:p>
        </w:tc>
        <w:tc>
          <w:tcPr>
            <w:tcW w:w="3808"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7EDA671F">
            <w:pPr>
              <w:ind w:firstLine="0"/>
              <w:jc w:val="center"/>
            </w:pPr>
            <w:r>
              <w:rPr>
                <w:rFonts w:ascii="Times New Roman" w:hAnsi="Times New Roman" w:eastAsia="宋体"/>
                <w:b/>
                <w:bCs/>
                <w:color w:val="000000"/>
                <w:sz w:val="21"/>
                <w:szCs w:val="21"/>
              </w:rPr>
              <w:t>操作</w:t>
            </w:r>
          </w:p>
        </w:tc>
        <w:tc>
          <w:tcPr>
            <w:tcW w:w="3052"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22DC16F1">
            <w:pPr>
              <w:ind w:firstLine="0"/>
              <w:jc w:val="center"/>
            </w:pPr>
            <w:r>
              <w:rPr>
                <w:rFonts w:ascii="Times New Roman" w:hAnsi="Times New Roman" w:eastAsia="宋体"/>
                <w:b/>
                <w:bCs/>
                <w:color w:val="000000"/>
                <w:sz w:val="21"/>
                <w:szCs w:val="21"/>
              </w:rPr>
              <w:t>预期结果</w:t>
            </w:r>
          </w:p>
        </w:tc>
      </w:tr>
      <w:tr w14:paraId="3CE02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10" w:type="dxa"/>
            <w:tcBorders>
              <w:top w:val="nil"/>
              <w:left w:val="nil"/>
              <w:bottom w:val="nil"/>
              <w:right w:val="nil"/>
            </w:tcBorders>
            <w:shd w:val="clear" w:color="auto" w:fill="FFFFFF"/>
            <w:tcMar>
              <w:top w:w="80" w:type="dxa"/>
              <w:left w:w="120" w:type="dxa"/>
              <w:bottom w:w="80" w:type="dxa"/>
              <w:right w:w="120" w:type="dxa"/>
            </w:tcMar>
          </w:tcPr>
          <w:p w14:paraId="3F445CB3">
            <w:pPr>
              <w:ind w:firstLine="0"/>
              <w:jc w:val="center"/>
            </w:pPr>
            <w:r>
              <w:rPr>
                <w:rFonts w:ascii="Times New Roman" w:hAnsi="Times New Roman" w:eastAsia="宋体"/>
                <w:b w:val="0"/>
                <w:bCs w:val="0"/>
                <w:color w:val="000000"/>
                <w:sz w:val="21"/>
                <w:szCs w:val="21"/>
              </w:rPr>
              <w:t>1</w:t>
            </w:r>
          </w:p>
        </w:tc>
        <w:tc>
          <w:tcPr>
            <w:tcW w:w="3808" w:type="dxa"/>
            <w:tcBorders>
              <w:top w:val="nil"/>
              <w:left w:val="nil"/>
              <w:bottom w:val="nil"/>
              <w:right w:val="nil"/>
            </w:tcBorders>
            <w:shd w:val="clear" w:color="auto" w:fill="FFFFFF"/>
            <w:tcMar>
              <w:top w:w="80" w:type="dxa"/>
              <w:left w:w="120" w:type="dxa"/>
              <w:bottom w:w="80" w:type="dxa"/>
              <w:right w:w="120" w:type="dxa"/>
            </w:tcMar>
          </w:tcPr>
          <w:p w14:paraId="39E0E83C">
            <w:pPr>
              <w:ind w:firstLine="0"/>
              <w:jc w:val="center"/>
            </w:pPr>
            <w:r>
              <w:rPr>
                <w:rFonts w:ascii="Times New Roman" w:hAnsi="Times New Roman" w:eastAsia="宋体"/>
                <w:b w:val="0"/>
                <w:bCs w:val="0"/>
                <w:color w:val="000000"/>
                <w:sz w:val="21"/>
                <w:szCs w:val="21"/>
              </w:rPr>
              <w:t>将交付包解压到纯英文路径下</w:t>
            </w:r>
          </w:p>
        </w:tc>
        <w:tc>
          <w:tcPr>
            <w:tcW w:w="3052" w:type="dxa"/>
            <w:tcBorders>
              <w:top w:val="nil"/>
              <w:left w:val="nil"/>
              <w:bottom w:val="nil"/>
              <w:right w:val="nil"/>
            </w:tcBorders>
            <w:shd w:val="clear" w:color="auto" w:fill="FFFFFF"/>
            <w:tcMar>
              <w:top w:w="80" w:type="dxa"/>
              <w:left w:w="120" w:type="dxa"/>
              <w:bottom w:w="80" w:type="dxa"/>
              <w:right w:w="120" w:type="dxa"/>
            </w:tcMar>
          </w:tcPr>
          <w:p w14:paraId="6673F7F9">
            <w:pPr>
              <w:ind w:firstLine="0"/>
              <w:jc w:val="center"/>
            </w:pPr>
            <w:r>
              <w:rPr>
                <w:rFonts w:ascii="Times New Roman" w:hAnsi="Times New Roman" w:eastAsia="宋体"/>
                <w:b w:val="0"/>
                <w:bCs w:val="0"/>
                <w:color w:val="000000"/>
                <w:sz w:val="21"/>
                <w:szCs w:val="21"/>
              </w:rPr>
              <w:t>所有文件均可访问，且无编码问题</w:t>
            </w:r>
          </w:p>
        </w:tc>
      </w:tr>
      <w:tr w14:paraId="0F445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10" w:type="dxa"/>
            <w:tcBorders>
              <w:top w:val="nil"/>
              <w:left w:val="nil"/>
              <w:bottom w:val="nil"/>
              <w:right w:val="nil"/>
            </w:tcBorders>
            <w:shd w:val="clear" w:color="auto" w:fill="FFFFFF"/>
            <w:tcMar>
              <w:top w:w="80" w:type="dxa"/>
              <w:left w:w="120" w:type="dxa"/>
              <w:bottom w:w="80" w:type="dxa"/>
              <w:right w:w="120" w:type="dxa"/>
            </w:tcMar>
          </w:tcPr>
          <w:p w14:paraId="5B32004D">
            <w:pPr>
              <w:ind w:firstLine="0"/>
              <w:jc w:val="center"/>
            </w:pPr>
            <w:r>
              <w:rPr>
                <w:rFonts w:ascii="Times New Roman" w:hAnsi="Times New Roman" w:eastAsia="宋体"/>
                <w:b w:val="0"/>
                <w:bCs w:val="0"/>
                <w:color w:val="000000"/>
                <w:sz w:val="21"/>
                <w:szCs w:val="21"/>
              </w:rPr>
              <w:t>2</w:t>
            </w:r>
          </w:p>
        </w:tc>
        <w:tc>
          <w:tcPr>
            <w:tcW w:w="3808" w:type="dxa"/>
            <w:tcBorders>
              <w:top w:val="nil"/>
              <w:left w:val="nil"/>
              <w:bottom w:val="nil"/>
              <w:right w:val="nil"/>
            </w:tcBorders>
            <w:shd w:val="clear" w:color="auto" w:fill="FFFFFF"/>
            <w:tcMar>
              <w:top w:w="80" w:type="dxa"/>
              <w:left w:w="120" w:type="dxa"/>
              <w:bottom w:w="80" w:type="dxa"/>
              <w:right w:w="120" w:type="dxa"/>
            </w:tcMar>
          </w:tcPr>
          <w:p w14:paraId="0E829332">
            <w:pPr>
              <w:ind w:firstLine="0"/>
              <w:jc w:val="center"/>
            </w:pPr>
            <w:r>
              <w:rPr>
                <w:rFonts w:ascii="Times New Roman" w:hAnsi="Times New Roman" w:eastAsia="宋体"/>
                <w:b w:val="0"/>
                <w:bCs w:val="0"/>
                <w:color w:val="000000"/>
                <w:sz w:val="21"/>
                <w:szCs w:val="21"/>
              </w:rPr>
              <w:t>打开 MWorks/Sysplorer</w:t>
            </w:r>
          </w:p>
        </w:tc>
        <w:tc>
          <w:tcPr>
            <w:tcW w:w="3052" w:type="dxa"/>
            <w:tcBorders>
              <w:top w:val="nil"/>
              <w:left w:val="nil"/>
              <w:bottom w:val="nil"/>
              <w:right w:val="nil"/>
            </w:tcBorders>
            <w:shd w:val="clear" w:color="auto" w:fill="FFFFFF"/>
            <w:tcMar>
              <w:top w:w="80" w:type="dxa"/>
              <w:left w:w="120" w:type="dxa"/>
              <w:bottom w:w="80" w:type="dxa"/>
              <w:right w:w="120" w:type="dxa"/>
            </w:tcMar>
          </w:tcPr>
          <w:p w14:paraId="5E4A8AA0">
            <w:pPr>
              <w:ind w:firstLine="0"/>
              <w:jc w:val="center"/>
            </w:pPr>
            <w:r>
              <w:rPr>
                <w:rFonts w:ascii="Times New Roman" w:hAnsi="Times New Roman" w:eastAsia="宋体"/>
                <w:b w:val="0"/>
                <w:bCs w:val="0"/>
                <w:color w:val="000000"/>
                <w:sz w:val="21"/>
                <w:szCs w:val="21"/>
              </w:rPr>
              <w:t>进入建模环境</w:t>
            </w:r>
          </w:p>
        </w:tc>
      </w:tr>
      <w:tr w14:paraId="1AC0A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10" w:type="dxa"/>
            <w:tcBorders>
              <w:top w:val="nil"/>
              <w:left w:val="nil"/>
              <w:bottom w:val="nil"/>
              <w:right w:val="nil"/>
            </w:tcBorders>
            <w:shd w:val="clear" w:color="auto" w:fill="FFFFFF"/>
            <w:tcMar>
              <w:top w:w="80" w:type="dxa"/>
              <w:left w:w="120" w:type="dxa"/>
              <w:bottom w:w="80" w:type="dxa"/>
              <w:right w:w="120" w:type="dxa"/>
            </w:tcMar>
          </w:tcPr>
          <w:p w14:paraId="6C1F4F5F">
            <w:pPr>
              <w:ind w:firstLine="0"/>
              <w:jc w:val="center"/>
            </w:pPr>
            <w:r>
              <w:rPr>
                <w:rFonts w:ascii="Times New Roman" w:hAnsi="Times New Roman" w:eastAsia="宋体"/>
                <w:b w:val="0"/>
                <w:bCs w:val="0"/>
                <w:color w:val="000000"/>
                <w:sz w:val="21"/>
                <w:szCs w:val="21"/>
              </w:rPr>
              <w:t>3</w:t>
            </w:r>
          </w:p>
        </w:tc>
        <w:tc>
          <w:tcPr>
            <w:tcW w:w="3808" w:type="dxa"/>
            <w:tcBorders>
              <w:top w:val="nil"/>
              <w:left w:val="nil"/>
              <w:bottom w:val="nil"/>
              <w:right w:val="nil"/>
            </w:tcBorders>
            <w:shd w:val="clear" w:color="auto" w:fill="FFFFFF"/>
            <w:tcMar>
              <w:top w:w="80" w:type="dxa"/>
              <w:left w:w="120" w:type="dxa"/>
              <w:bottom w:w="80" w:type="dxa"/>
              <w:right w:w="120" w:type="dxa"/>
            </w:tcMar>
          </w:tcPr>
          <w:p w14:paraId="76373882">
            <w:pPr>
              <w:ind w:firstLine="0"/>
              <w:jc w:val="center"/>
            </w:pPr>
            <w:r>
              <w:rPr>
                <w:rFonts w:ascii="Times New Roman" w:hAnsi="Times New Roman" w:eastAsia="宋体"/>
                <w:b w:val="0"/>
                <w:bCs w:val="0"/>
                <w:color w:val="000000"/>
                <w:sz w:val="21"/>
                <w:szCs w:val="21"/>
              </w:rPr>
              <w:t>加载 02_Model_Code/QuadrotorModel.mo</w:t>
            </w:r>
          </w:p>
        </w:tc>
        <w:tc>
          <w:tcPr>
            <w:tcW w:w="3052" w:type="dxa"/>
            <w:tcBorders>
              <w:top w:val="nil"/>
              <w:left w:val="nil"/>
              <w:bottom w:val="nil"/>
              <w:right w:val="nil"/>
            </w:tcBorders>
            <w:shd w:val="clear" w:color="auto" w:fill="FFFFFF"/>
            <w:tcMar>
              <w:top w:w="80" w:type="dxa"/>
              <w:left w:w="120" w:type="dxa"/>
              <w:bottom w:w="80" w:type="dxa"/>
              <w:right w:w="120" w:type="dxa"/>
            </w:tcMar>
          </w:tcPr>
          <w:p w14:paraId="7F7E9AEC">
            <w:pPr>
              <w:ind w:firstLine="0"/>
              <w:jc w:val="center"/>
            </w:pPr>
            <w:r>
              <w:rPr>
                <w:rFonts w:ascii="Times New Roman" w:hAnsi="Times New Roman" w:eastAsia="宋体"/>
                <w:b w:val="0"/>
                <w:bCs w:val="0"/>
                <w:color w:val="000000"/>
                <w:sz w:val="21"/>
                <w:szCs w:val="21"/>
              </w:rPr>
              <w:t>QuadrotorModel 出现在模型树中</w:t>
            </w:r>
          </w:p>
        </w:tc>
      </w:tr>
      <w:tr w14:paraId="48D5F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10" w:type="dxa"/>
            <w:tcBorders>
              <w:top w:val="nil"/>
              <w:left w:val="nil"/>
              <w:bottom w:val="nil"/>
              <w:right w:val="nil"/>
            </w:tcBorders>
            <w:shd w:val="clear" w:color="auto" w:fill="FFFFFF"/>
            <w:tcMar>
              <w:top w:w="80" w:type="dxa"/>
              <w:left w:w="120" w:type="dxa"/>
              <w:bottom w:w="80" w:type="dxa"/>
              <w:right w:w="120" w:type="dxa"/>
            </w:tcMar>
          </w:tcPr>
          <w:p w14:paraId="4DE13D3A">
            <w:pPr>
              <w:ind w:firstLine="0"/>
              <w:jc w:val="center"/>
            </w:pPr>
            <w:r>
              <w:rPr>
                <w:rFonts w:ascii="Times New Roman" w:hAnsi="Times New Roman" w:eastAsia="宋体"/>
                <w:b w:val="0"/>
                <w:bCs w:val="0"/>
                <w:color w:val="000000"/>
                <w:sz w:val="21"/>
                <w:szCs w:val="21"/>
              </w:rPr>
              <w:t>4</w:t>
            </w:r>
          </w:p>
        </w:tc>
        <w:tc>
          <w:tcPr>
            <w:tcW w:w="3808" w:type="dxa"/>
            <w:tcBorders>
              <w:top w:val="nil"/>
              <w:left w:val="nil"/>
              <w:bottom w:val="nil"/>
              <w:right w:val="nil"/>
            </w:tcBorders>
            <w:shd w:val="clear" w:color="auto" w:fill="FFFFFF"/>
            <w:tcMar>
              <w:top w:w="80" w:type="dxa"/>
              <w:left w:w="120" w:type="dxa"/>
              <w:bottom w:w="80" w:type="dxa"/>
              <w:right w:w="120" w:type="dxa"/>
            </w:tcMar>
          </w:tcPr>
          <w:p w14:paraId="22AC1C4B">
            <w:pPr>
              <w:ind w:firstLine="0"/>
              <w:jc w:val="center"/>
            </w:pPr>
            <w:r>
              <w:rPr>
                <w:rFonts w:ascii="Times New Roman" w:hAnsi="Times New Roman" w:eastAsia="宋体"/>
                <w:b w:val="0"/>
                <w:bCs w:val="0"/>
                <w:color w:val="000000"/>
                <w:sz w:val="21"/>
                <w:szCs w:val="21"/>
              </w:rPr>
              <w:t>展开 QuadrotorModel.Task</w:t>
            </w:r>
          </w:p>
        </w:tc>
        <w:tc>
          <w:tcPr>
            <w:tcW w:w="3052" w:type="dxa"/>
            <w:tcBorders>
              <w:top w:val="nil"/>
              <w:left w:val="nil"/>
              <w:bottom w:val="nil"/>
              <w:right w:val="nil"/>
            </w:tcBorders>
            <w:shd w:val="clear" w:color="auto" w:fill="FFFFFF"/>
            <w:tcMar>
              <w:top w:w="80" w:type="dxa"/>
              <w:left w:w="120" w:type="dxa"/>
              <w:bottom w:w="80" w:type="dxa"/>
              <w:right w:w="120" w:type="dxa"/>
            </w:tcMar>
          </w:tcPr>
          <w:p w14:paraId="26A959D9">
            <w:pPr>
              <w:ind w:firstLine="0"/>
              <w:jc w:val="center"/>
            </w:pPr>
            <w:r>
              <w:rPr>
                <w:rFonts w:ascii="Times New Roman" w:hAnsi="Times New Roman" w:eastAsia="宋体"/>
                <w:b w:val="0"/>
                <w:bCs w:val="0"/>
                <w:color w:val="000000"/>
                <w:sz w:val="21"/>
                <w:szCs w:val="21"/>
              </w:rPr>
              <w:t>可见六个任务模型（爬升/螺旋/8字 x 基准/增强）</w:t>
            </w:r>
          </w:p>
        </w:tc>
      </w:tr>
      <w:tr w14:paraId="468CA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10" w:type="dxa"/>
            <w:tcBorders>
              <w:top w:val="nil"/>
              <w:left w:val="nil"/>
              <w:bottom w:val="nil"/>
              <w:right w:val="nil"/>
            </w:tcBorders>
            <w:shd w:val="clear" w:color="auto" w:fill="FFFFFF"/>
            <w:tcMar>
              <w:top w:w="80" w:type="dxa"/>
              <w:left w:w="120" w:type="dxa"/>
              <w:bottom w:w="80" w:type="dxa"/>
              <w:right w:w="120" w:type="dxa"/>
            </w:tcMar>
          </w:tcPr>
          <w:p w14:paraId="772A2E10">
            <w:pPr>
              <w:ind w:firstLine="0"/>
              <w:jc w:val="center"/>
            </w:pPr>
            <w:r>
              <w:rPr>
                <w:rFonts w:ascii="Times New Roman" w:hAnsi="Times New Roman" w:eastAsia="宋体"/>
                <w:b w:val="0"/>
                <w:bCs w:val="0"/>
                <w:color w:val="000000"/>
                <w:sz w:val="21"/>
                <w:szCs w:val="21"/>
              </w:rPr>
              <w:t>5</w:t>
            </w:r>
          </w:p>
        </w:tc>
        <w:tc>
          <w:tcPr>
            <w:tcW w:w="3808" w:type="dxa"/>
            <w:tcBorders>
              <w:top w:val="nil"/>
              <w:left w:val="nil"/>
              <w:bottom w:val="nil"/>
              <w:right w:val="nil"/>
            </w:tcBorders>
            <w:shd w:val="clear" w:color="auto" w:fill="FFFFFF"/>
            <w:tcMar>
              <w:top w:w="80" w:type="dxa"/>
              <w:left w:w="120" w:type="dxa"/>
              <w:bottom w:w="80" w:type="dxa"/>
              <w:right w:w="120" w:type="dxa"/>
            </w:tcMar>
          </w:tcPr>
          <w:p w14:paraId="18EBD236">
            <w:pPr>
              <w:ind w:firstLine="0"/>
              <w:jc w:val="center"/>
            </w:pPr>
            <w:r>
              <w:rPr>
                <w:rFonts w:ascii="Times New Roman" w:hAnsi="Times New Roman" w:eastAsia="宋体"/>
                <w:b w:val="0"/>
                <w:bCs w:val="0"/>
                <w:color w:val="000000"/>
                <w:sz w:val="21"/>
                <w:szCs w:val="21"/>
              </w:rPr>
              <w:t>选择一个模型，执行“检查”然后“模拟”</w:t>
            </w:r>
          </w:p>
        </w:tc>
        <w:tc>
          <w:tcPr>
            <w:tcW w:w="3052" w:type="dxa"/>
            <w:tcBorders>
              <w:top w:val="nil"/>
              <w:left w:val="nil"/>
              <w:bottom w:val="nil"/>
              <w:right w:val="nil"/>
            </w:tcBorders>
            <w:shd w:val="clear" w:color="auto" w:fill="FFFFFF"/>
            <w:tcMar>
              <w:top w:w="80" w:type="dxa"/>
              <w:left w:w="120" w:type="dxa"/>
              <w:bottom w:w="80" w:type="dxa"/>
              <w:right w:w="120" w:type="dxa"/>
            </w:tcMar>
          </w:tcPr>
          <w:p w14:paraId="422C9E42">
            <w:pPr>
              <w:ind w:firstLine="0"/>
              <w:jc w:val="center"/>
            </w:pPr>
            <w:r>
              <w:rPr>
                <w:rFonts w:ascii="Times New Roman" w:hAnsi="Times New Roman" w:eastAsia="宋体"/>
                <w:b w:val="0"/>
                <w:bCs w:val="0"/>
                <w:color w:val="000000"/>
                <w:sz w:val="21"/>
                <w:szCs w:val="21"/>
              </w:rPr>
              <w:t>仿真完成并生成结果变量</w:t>
            </w:r>
          </w:p>
        </w:tc>
      </w:tr>
      <w:tr w14:paraId="4F96E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10" w:type="dxa"/>
            <w:tcBorders>
              <w:top w:val="nil"/>
              <w:left w:val="nil"/>
              <w:bottom w:val="nil"/>
              <w:right w:val="nil"/>
            </w:tcBorders>
            <w:shd w:val="clear" w:color="auto" w:fill="FFFFFF"/>
            <w:tcMar>
              <w:top w:w="80" w:type="dxa"/>
              <w:left w:w="120" w:type="dxa"/>
              <w:bottom w:w="80" w:type="dxa"/>
              <w:right w:w="120" w:type="dxa"/>
            </w:tcMar>
          </w:tcPr>
          <w:p w14:paraId="2EBECA79">
            <w:pPr>
              <w:ind w:firstLine="0"/>
              <w:jc w:val="center"/>
            </w:pPr>
            <w:r>
              <w:rPr>
                <w:rFonts w:ascii="Times New Roman" w:hAnsi="Times New Roman" w:eastAsia="宋体"/>
                <w:b w:val="0"/>
                <w:bCs w:val="0"/>
                <w:color w:val="000000"/>
                <w:sz w:val="21"/>
                <w:szCs w:val="21"/>
              </w:rPr>
              <w:t>6</w:t>
            </w:r>
          </w:p>
        </w:tc>
        <w:tc>
          <w:tcPr>
            <w:tcW w:w="3808" w:type="dxa"/>
            <w:tcBorders>
              <w:top w:val="nil"/>
              <w:left w:val="nil"/>
              <w:bottom w:val="nil"/>
              <w:right w:val="nil"/>
            </w:tcBorders>
            <w:shd w:val="clear" w:color="auto" w:fill="FFFFFF"/>
            <w:tcMar>
              <w:top w:w="80" w:type="dxa"/>
              <w:left w:w="120" w:type="dxa"/>
              <w:bottom w:w="80" w:type="dxa"/>
              <w:right w:w="120" w:type="dxa"/>
            </w:tcMar>
          </w:tcPr>
          <w:p w14:paraId="7C910149">
            <w:pPr>
              <w:ind w:firstLine="0"/>
              <w:jc w:val="center"/>
            </w:pPr>
            <w:r>
              <w:rPr>
                <w:rFonts w:ascii="Times New Roman" w:hAnsi="Times New Roman" w:eastAsia="宋体"/>
                <w:b w:val="0"/>
                <w:bCs w:val="0"/>
                <w:color w:val="000000"/>
                <w:sz w:val="21"/>
                <w:szCs w:val="21"/>
              </w:rPr>
              <w:t>查看 03_Simulation_Results 文件夹</w:t>
            </w:r>
          </w:p>
        </w:tc>
        <w:tc>
          <w:tcPr>
            <w:tcW w:w="3052" w:type="dxa"/>
            <w:tcBorders>
              <w:top w:val="nil"/>
              <w:left w:val="nil"/>
              <w:bottom w:val="nil"/>
              <w:right w:val="nil"/>
            </w:tcBorders>
            <w:shd w:val="clear" w:color="auto" w:fill="FFFFFF"/>
            <w:tcMar>
              <w:top w:w="80" w:type="dxa"/>
              <w:left w:w="120" w:type="dxa"/>
              <w:bottom w:w="80" w:type="dxa"/>
              <w:right w:w="120" w:type="dxa"/>
            </w:tcMar>
          </w:tcPr>
          <w:p w14:paraId="65489244">
            <w:pPr>
              <w:ind w:firstLine="0"/>
              <w:jc w:val="center"/>
            </w:pPr>
            <w:r>
              <w:rPr>
                <w:rFonts w:ascii="Times New Roman" w:hAnsi="Times New Roman" w:eastAsia="宋体"/>
                <w:b w:val="0"/>
                <w:bCs w:val="0"/>
                <w:color w:val="000000"/>
                <w:sz w:val="21"/>
                <w:szCs w:val="21"/>
              </w:rPr>
              <w:t>提供 CSV、JSON 及图形结果</w:t>
            </w:r>
          </w:p>
        </w:tc>
      </w:tr>
      <w:tr w14:paraId="2C511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10" w:type="dxa"/>
            <w:tcBorders>
              <w:top w:val="nil"/>
              <w:left w:val="nil"/>
              <w:bottom w:val="single" w:color="000000" w:sz="12" w:space="0"/>
              <w:right w:val="nil"/>
            </w:tcBorders>
            <w:shd w:val="clear" w:color="auto" w:fill="FFFFFF"/>
            <w:tcMar>
              <w:top w:w="80" w:type="dxa"/>
              <w:left w:w="120" w:type="dxa"/>
              <w:bottom w:w="80" w:type="dxa"/>
              <w:right w:w="120" w:type="dxa"/>
            </w:tcMar>
          </w:tcPr>
          <w:p w14:paraId="68B4436C">
            <w:pPr>
              <w:ind w:firstLine="0"/>
              <w:jc w:val="center"/>
            </w:pPr>
            <w:r>
              <w:rPr>
                <w:rFonts w:ascii="Times New Roman" w:hAnsi="Times New Roman" w:eastAsia="宋体"/>
                <w:b w:val="0"/>
                <w:bCs w:val="0"/>
                <w:color w:val="000000"/>
                <w:sz w:val="21"/>
                <w:szCs w:val="21"/>
              </w:rPr>
              <w:t>7</w:t>
            </w:r>
          </w:p>
        </w:tc>
        <w:tc>
          <w:tcPr>
            <w:tcW w:w="3808" w:type="dxa"/>
            <w:tcBorders>
              <w:top w:val="nil"/>
              <w:left w:val="nil"/>
              <w:bottom w:val="single" w:color="000000" w:sz="12" w:space="0"/>
              <w:right w:val="nil"/>
            </w:tcBorders>
            <w:shd w:val="clear" w:color="auto" w:fill="FFFFFF"/>
            <w:tcMar>
              <w:top w:w="80" w:type="dxa"/>
              <w:left w:w="120" w:type="dxa"/>
              <w:bottom w:w="80" w:type="dxa"/>
              <w:right w:w="120" w:type="dxa"/>
            </w:tcMar>
          </w:tcPr>
          <w:p w14:paraId="39C941E2">
            <w:pPr>
              <w:ind w:firstLine="0"/>
              <w:jc w:val="center"/>
            </w:pPr>
            <w:r>
              <w:rPr>
                <w:rFonts w:ascii="Times New Roman" w:hAnsi="Times New Roman" w:eastAsia="宋体"/>
                <w:b w:val="0"/>
                <w:bCs w:val="0"/>
                <w:color w:val="000000"/>
                <w:sz w:val="21"/>
                <w:szCs w:val="21"/>
              </w:rPr>
              <w:t>在浏览器中打开 04_Advanced_Validation/dashboard.html</w:t>
            </w:r>
          </w:p>
        </w:tc>
        <w:tc>
          <w:tcPr>
            <w:tcW w:w="3052" w:type="dxa"/>
            <w:tcBorders>
              <w:top w:val="nil"/>
              <w:left w:val="nil"/>
              <w:bottom w:val="single" w:color="000000" w:sz="12" w:space="0"/>
              <w:right w:val="nil"/>
            </w:tcBorders>
            <w:shd w:val="clear" w:color="auto" w:fill="FFFFFF"/>
            <w:tcMar>
              <w:top w:w="80" w:type="dxa"/>
              <w:left w:w="120" w:type="dxa"/>
              <w:bottom w:w="80" w:type="dxa"/>
              <w:right w:w="120" w:type="dxa"/>
            </w:tcMar>
          </w:tcPr>
          <w:p w14:paraId="7AE23801">
            <w:pPr>
              <w:ind w:firstLine="0"/>
              <w:jc w:val="center"/>
            </w:pPr>
            <w:r>
              <w:rPr>
                <w:rFonts w:ascii="Times New Roman" w:hAnsi="Times New Roman" w:eastAsia="宋体"/>
                <w:b w:val="0"/>
                <w:bCs w:val="0"/>
                <w:color w:val="000000"/>
                <w:sz w:val="21"/>
                <w:szCs w:val="21"/>
              </w:rPr>
              <w:t>显示高级验证仪表盘</w:t>
            </w:r>
          </w:p>
        </w:tc>
      </w:tr>
    </w:tbl>
    <w:p w14:paraId="45024A33">
      <w:pPr>
        <w:pStyle w:val="4"/>
        <w:spacing w:before="120" w:after="60" w:line="360" w:lineRule="auto"/>
        <w:ind w:firstLine="0"/>
        <w:jc w:val="left"/>
        <w:rPr>
          <w:rFonts w:ascii="Times New Roman" w:hAnsi="Times New Roman" w:eastAsia="黑体"/>
          <w:b/>
          <w:bCs/>
          <w:color w:val="000000"/>
          <w:sz w:val="24"/>
          <w:szCs w:val="24"/>
        </w:rPr>
      </w:pPr>
    </w:p>
    <w:p w14:paraId="6C098A3B">
      <w:pPr>
        <w:pStyle w:val="4"/>
        <w:spacing w:before="120" w:after="60" w:line="360" w:lineRule="auto"/>
        <w:ind w:firstLine="0"/>
        <w:jc w:val="left"/>
      </w:pPr>
      <w:r>
        <w:rPr>
          <w:rFonts w:ascii="Times New Roman" w:hAnsi="Times New Roman" w:eastAsia="黑体"/>
          <w:b/>
          <w:bCs/>
          <w:color w:val="000000"/>
          <w:sz w:val="24"/>
          <w:szCs w:val="24"/>
        </w:rPr>
        <w:t>4.2 仿真参数配置</w:t>
      </w:r>
    </w:p>
    <w:p w14:paraId="6A739B35">
      <w:pPr>
        <w:spacing w:line="360" w:lineRule="auto"/>
        <w:ind w:firstLine="480"/>
      </w:pPr>
      <w:r>
        <w:rPr>
          <w:color w:val="000000"/>
        </w:rPr>
        <w:t>所有模拟必须使用以下标准化参数，以重现报告中的结果：</w:t>
      </w:r>
    </w:p>
    <w:tbl>
      <w:tblPr>
        <w:tblStyle w:val="11"/>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535"/>
        <w:gridCol w:w="4535"/>
      </w:tblGrid>
      <w:tr w14:paraId="0315B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3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5F3E6A82">
            <w:pPr>
              <w:ind w:firstLine="0"/>
              <w:jc w:val="center"/>
            </w:pPr>
            <w:r>
              <w:rPr>
                <w:rFonts w:ascii="Times New Roman" w:hAnsi="Times New Roman" w:eastAsia="宋体"/>
                <w:b/>
                <w:bCs/>
                <w:color w:val="000000"/>
                <w:sz w:val="21"/>
                <w:szCs w:val="21"/>
              </w:rPr>
              <w:t>参数</w:t>
            </w:r>
          </w:p>
        </w:tc>
        <w:tc>
          <w:tcPr>
            <w:tcW w:w="453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155E56FC">
            <w:pPr>
              <w:ind w:firstLine="0"/>
              <w:jc w:val="center"/>
            </w:pPr>
            <w:r>
              <w:rPr>
                <w:rFonts w:ascii="Times New Roman" w:hAnsi="Times New Roman" w:eastAsia="宋体"/>
                <w:b/>
                <w:bCs/>
                <w:color w:val="000000"/>
                <w:sz w:val="21"/>
                <w:szCs w:val="21"/>
              </w:rPr>
              <w:t>配置</w:t>
            </w:r>
          </w:p>
        </w:tc>
      </w:tr>
      <w:tr w14:paraId="4DF5F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5B5F12CA">
            <w:pPr>
              <w:ind w:firstLine="0"/>
              <w:jc w:val="center"/>
            </w:pPr>
            <w:r>
              <w:rPr>
                <w:rFonts w:ascii="Times New Roman" w:hAnsi="Times New Roman" w:eastAsia="宋体"/>
                <w:b w:val="0"/>
                <w:bCs w:val="0"/>
                <w:color w:val="000000"/>
                <w:sz w:val="21"/>
                <w:szCs w:val="21"/>
              </w:rPr>
              <w:t>求解器算法</w:t>
            </w:r>
          </w:p>
        </w:tc>
        <w:tc>
          <w:tcPr>
            <w:tcW w:w="4535" w:type="dxa"/>
            <w:tcBorders>
              <w:top w:val="nil"/>
              <w:left w:val="nil"/>
              <w:bottom w:val="nil"/>
              <w:right w:val="nil"/>
            </w:tcBorders>
            <w:shd w:val="clear" w:color="auto" w:fill="FFFFFF"/>
            <w:tcMar>
              <w:top w:w="80" w:type="dxa"/>
              <w:left w:w="120" w:type="dxa"/>
              <w:bottom w:w="80" w:type="dxa"/>
              <w:right w:w="120" w:type="dxa"/>
            </w:tcMar>
          </w:tcPr>
          <w:p w14:paraId="60F9AB05">
            <w:pPr>
              <w:ind w:firstLine="0"/>
              <w:jc w:val="center"/>
            </w:pPr>
            <w:r>
              <w:rPr>
                <w:rFonts w:ascii="Times New Roman" w:hAnsi="Times New Roman" w:eastAsia="宋体"/>
                <w:b w:val="0"/>
                <w:bCs w:val="0"/>
                <w:color w:val="000000"/>
                <w:sz w:val="21"/>
                <w:szCs w:val="21"/>
              </w:rPr>
              <w:t>Dassl</w:t>
            </w:r>
          </w:p>
        </w:tc>
      </w:tr>
      <w:tr w14:paraId="64D34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448FB22F">
            <w:pPr>
              <w:ind w:firstLine="0"/>
              <w:jc w:val="center"/>
            </w:pPr>
            <w:r>
              <w:rPr>
                <w:rFonts w:ascii="Times New Roman" w:hAnsi="Times New Roman" w:eastAsia="宋体"/>
                <w:b w:val="0"/>
                <w:bCs w:val="0"/>
                <w:color w:val="000000"/>
                <w:sz w:val="21"/>
                <w:szCs w:val="21"/>
              </w:rPr>
              <w:t>爬升模拟时间</w:t>
            </w:r>
          </w:p>
        </w:tc>
        <w:tc>
          <w:tcPr>
            <w:tcW w:w="4535" w:type="dxa"/>
            <w:tcBorders>
              <w:top w:val="nil"/>
              <w:left w:val="nil"/>
              <w:bottom w:val="nil"/>
              <w:right w:val="nil"/>
            </w:tcBorders>
            <w:shd w:val="clear" w:color="auto" w:fill="FFFFFF"/>
            <w:tcMar>
              <w:top w:w="80" w:type="dxa"/>
              <w:left w:w="120" w:type="dxa"/>
              <w:bottom w:w="80" w:type="dxa"/>
              <w:right w:w="120" w:type="dxa"/>
            </w:tcMar>
          </w:tcPr>
          <w:p w14:paraId="70998A49">
            <w:pPr>
              <w:ind w:firstLine="0"/>
              <w:jc w:val="center"/>
            </w:pPr>
            <w:r>
              <w:rPr>
                <w:rFonts w:ascii="Times New Roman" w:hAnsi="Times New Roman" w:eastAsia="宋体"/>
                <w:b w:val="0"/>
                <w:bCs w:val="0"/>
                <w:color w:val="000000"/>
                <w:sz w:val="21"/>
                <w:szCs w:val="21"/>
              </w:rPr>
              <w:t>0-50 秒</w:t>
            </w:r>
          </w:p>
        </w:tc>
      </w:tr>
      <w:tr w14:paraId="1BCF9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3152390C">
            <w:pPr>
              <w:ind w:firstLine="0"/>
              <w:jc w:val="center"/>
            </w:pPr>
            <w:r>
              <w:rPr>
                <w:rFonts w:ascii="Times New Roman" w:hAnsi="Times New Roman" w:eastAsia="宋体"/>
                <w:b w:val="0"/>
                <w:bCs w:val="0"/>
                <w:color w:val="000000"/>
                <w:sz w:val="21"/>
                <w:szCs w:val="21"/>
              </w:rPr>
              <w:t>螺旋爬升模拟时间</w:t>
            </w:r>
          </w:p>
        </w:tc>
        <w:tc>
          <w:tcPr>
            <w:tcW w:w="4535" w:type="dxa"/>
            <w:tcBorders>
              <w:top w:val="nil"/>
              <w:left w:val="nil"/>
              <w:bottom w:val="nil"/>
              <w:right w:val="nil"/>
            </w:tcBorders>
            <w:shd w:val="clear" w:color="auto" w:fill="FFFFFF"/>
            <w:tcMar>
              <w:top w:w="80" w:type="dxa"/>
              <w:left w:w="120" w:type="dxa"/>
              <w:bottom w:w="80" w:type="dxa"/>
              <w:right w:w="120" w:type="dxa"/>
            </w:tcMar>
          </w:tcPr>
          <w:p w14:paraId="76EEE95E">
            <w:pPr>
              <w:ind w:firstLine="0"/>
              <w:jc w:val="center"/>
            </w:pPr>
            <w:r>
              <w:rPr>
                <w:rFonts w:ascii="Times New Roman" w:hAnsi="Times New Roman" w:eastAsia="宋体"/>
                <w:b w:val="0"/>
                <w:bCs w:val="0"/>
                <w:color w:val="000000"/>
                <w:sz w:val="21"/>
                <w:szCs w:val="21"/>
              </w:rPr>
              <w:t>0-50 秒</w:t>
            </w:r>
          </w:p>
        </w:tc>
      </w:tr>
      <w:tr w14:paraId="7F88B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2A94751C">
            <w:pPr>
              <w:ind w:firstLine="0"/>
              <w:jc w:val="center"/>
            </w:pPr>
            <w:r>
              <w:rPr>
                <w:rFonts w:ascii="Times New Roman" w:hAnsi="Times New Roman" w:eastAsia="宋体"/>
                <w:b w:val="0"/>
                <w:bCs w:val="0"/>
                <w:color w:val="000000"/>
                <w:sz w:val="21"/>
                <w:szCs w:val="21"/>
              </w:rPr>
              <w:t>“8”字飞行模拟时间</w:t>
            </w:r>
          </w:p>
        </w:tc>
        <w:tc>
          <w:tcPr>
            <w:tcW w:w="4535" w:type="dxa"/>
            <w:tcBorders>
              <w:top w:val="nil"/>
              <w:left w:val="nil"/>
              <w:bottom w:val="nil"/>
              <w:right w:val="nil"/>
            </w:tcBorders>
            <w:shd w:val="clear" w:color="auto" w:fill="FFFFFF"/>
            <w:tcMar>
              <w:top w:w="80" w:type="dxa"/>
              <w:left w:w="120" w:type="dxa"/>
              <w:bottom w:w="80" w:type="dxa"/>
              <w:right w:w="120" w:type="dxa"/>
            </w:tcMar>
          </w:tcPr>
          <w:p w14:paraId="1090607B">
            <w:pPr>
              <w:ind w:firstLine="0"/>
              <w:jc w:val="center"/>
            </w:pPr>
            <w:r>
              <w:rPr>
                <w:rFonts w:ascii="Times New Roman" w:hAnsi="Times New Roman" w:eastAsia="宋体"/>
                <w:b w:val="0"/>
                <w:bCs w:val="0"/>
                <w:color w:val="000000"/>
                <w:sz w:val="21"/>
                <w:szCs w:val="21"/>
              </w:rPr>
              <w:t>0-120 秒</w:t>
            </w:r>
          </w:p>
        </w:tc>
      </w:tr>
      <w:tr w14:paraId="56A58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732D57A0">
            <w:pPr>
              <w:ind w:firstLine="0"/>
              <w:jc w:val="center"/>
            </w:pPr>
            <w:r>
              <w:rPr>
                <w:rFonts w:ascii="Times New Roman" w:hAnsi="Times New Roman" w:eastAsia="宋体"/>
                <w:b w:val="0"/>
                <w:bCs w:val="0"/>
                <w:color w:val="000000"/>
                <w:sz w:val="21"/>
                <w:szCs w:val="21"/>
              </w:rPr>
              <w:t>采样间隔</w:t>
            </w:r>
          </w:p>
        </w:tc>
        <w:tc>
          <w:tcPr>
            <w:tcW w:w="4535" w:type="dxa"/>
            <w:tcBorders>
              <w:top w:val="nil"/>
              <w:left w:val="nil"/>
              <w:bottom w:val="nil"/>
              <w:right w:val="nil"/>
            </w:tcBorders>
            <w:shd w:val="clear" w:color="auto" w:fill="FFFFFF"/>
            <w:tcMar>
              <w:top w:w="80" w:type="dxa"/>
              <w:left w:w="120" w:type="dxa"/>
              <w:bottom w:w="80" w:type="dxa"/>
              <w:right w:w="120" w:type="dxa"/>
            </w:tcMar>
          </w:tcPr>
          <w:p w14:paraId="0557CBAE">
            <w:pPr>
              <w:ind w:firstLine="0"/>
              <w:jc w:val="center"/>
            </w:pPr>
            <w:r>
              <w:rPr>
                <w:rFonts w:ascii="Times New Roman" w:hAnsi="Times New Roman" w:eastAsia="宋体"/>
                <w:b w:val="0"/>
                <w:bCs w:val="0"/>
                <w:color w:val="000000"/>
                <w:sz w:val="21"/>
                <w:szCs w:val="21"/>
              </w:rPr>
              <w:t>0.01 s</w:t>
            </w:r>
          </w:p>
        </w:tc>
      </w:tr>
      <w:tr w14:paraId="0A5B1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single" w:color="000000" w:sz="12" w:space="0"/>
              <w:right w:val="nil"/>
            </w:tcBorders>
            <w:shd w:val="clear" w:color="auto" w:fill="FFFFFF"/>
            <w:tcMar>
              <w:top w:w="80" w:type="dxa"/>
              <w:left w:w="120" w:type="dxa"/>
              <w:bottom w:w="80" w:type="dxa"/>
              <w:right w:w="120" w:type="dxa"/>
            </w:tcMar>
          </w:tcPr>
          <w:p w14:paraId="00E42A16">
            <w:pPr>
              <w:ind w:firstLine="0"/>
              <w:jc w:val="center"/>
            </w:pPr>
            <w:r>
              <w:rPr>
                <w:rFonts w:ascii="Times New Roman" w:hAnsi="Times New Roman" w:eastAsia="宋体"/>
                <w:b w:val="0"/>
                <w:bCs w:val="0"/>
                <w:color w:val="000000"/>
                <w:sz w:val="21"/>
                <w:szCs w:val="21"/>
              </w:rPr>
              <w:t>公差</w:t>
            </w:r>
          </w:p>
        </w:tc>
        <w:tc>
          <w:tcPr>
            <w:tcW w:w="4535" w:type="dxa"/>
            <w:tcBorders>
              <w:top w:val="nil"/>
              <w:left w:val="nil"/>
              <w:bottom w:val="single" w:color="000000" w:sz="12" w:space="0"/>
              <w:right w:val="nil"/>
            </w:tcBorders>
            <w:shd w:val="clear" w:color="auto" w:fill="FFFFFF"/>
            <w:tcMar>
              <w:top w:w="80" w:type="dxa"/>
              <w:left w:w="120" w:type="dxa"/>
              <w:bottom w:w="80" w:type="dxa"/>
              <w:right w:w="120" w:type="dxa"/>
            </w:tcMar>
          </w:tcPr>
          <w:p w14:paraId="1C35D025">
            <w:pPr>
              <w:ind w:firstLine="0"/>
              <w:jc w:val="center"/>
            </w:pPr>
            <w:r>
              <w:rPr>
                <w:rFonts w:ascii="Times New Roman" w:hAnsi="Times New Roman" w:eastAsia="宋体"/>
                <w:b w:val="0"/>
                <w:bCs w:val="0"/>
                <w:color w:val="000000"/>
                <w:sz w:val="21"/>
                <w:szCs w:val="21"/>
              </w:rPr>
              <w:t>0.0001</w:t>
            </w:r>
          </w:p>
        </w:tc>
      </w:tr>
    </w:tbl>
    <w:p w14:paraId="1AC92635">
      <w:pPr>
        <w:spacing w:line="360" w:lineRule="auto"/>
        <w:ind w:firstLine="480"/>
        <w:rPr>
          <w:color w:val="000000"/>
        </w:rPr>
      </w:pPr>
    </w:p>
    <w:p w14:paraId="6AC99E7A">
      <w:pPr>
        <w:spacing w:line="360" w:lineRule="auto"/>
        <w:ind w:firstLine="480"/>
      </w:pPr>
      <w:r>
        <w:rPr>
          <w:color w:val="000000"/>
        </w:rPr>
        <w:t>在重复实验过程中，这些参数必须保持不变。修改任何参数都可能导致与报告值出现偏差。</w:t>
      </w:r>
    </w:p>
    <w:p w14:paraId="3091E7A1">
      <w:pPr>
        <w:pStyle w:val="4"/>
        <w:spacing w:before="120" w:after="60" w:line="360" w:lineRule="auto"/>
        <w:ind w:firstLine="0"/>
        <w:jc w:val="left"/>
      </w:pPr>
      <w:r>
        <w:rPr>
          <w:rFonts w:ascii="Times New Roman" w:hAnsi="Times New Roman" w:eastAsia="黑体"/>
          <w:b/>
          <w:bCs/>
          <w:color w:val="000000"/>
          <w:sz w:val="24"/>
          <w:szCs w:val="24"/>
        </w:rPr>
        <w:t>4.3 模型选择指南</w:t>
      </w:r>
    </w:p>
    <w:p w14:paraId="6EB7388E">
      <w:pPr>
        <w:spacing w:line="360" w:lineRule="auto"/>
        <w:ind w:firstLine="480"/>
      </w:pPr>
      <w:r>
        <w:rPr>
          <w:color w:val="000000"/>
        </w:rPr>
        <w:t>该系统包含六个任务模型，分为三个场景，每个场景均包含基线版本和增强版本：</w:t>
      </w:r>
    </w:p>
    <w:tbl>
      <w:tblPr>
        <w:tblStyle w:val="11"/>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23"/>
        <w:gridCol w:w="3023"/>
        <w:gridCol w:w="3024"/>
      </w:tblGrid>
      <w:tr w14:paraId="5048D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23"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4CEE5424">
            <w:pPr>
              <w:ind w:firstLine="0"/>
              <w:jc w:val="center"/>
            </w:pPr>
            <w:r>
              <w:rPr>
                <w:rFonts w:ascii="Times New Roman" w:hAnsi="Times New Roman" w:eastAsia="宋体"/>
                <w:b/>
                <w:bCs/>
                <w:color w:val="000000"/>
                <w:sz w:val="21"/>
                <w:szCs w:val="21"/>
              </w:rPr>
              <w:t>场景</w:t>
            </w:r>
          </w:p>
        </w:tc>
        <w:tc>
          <w:tcPr>
            <w:tcW w:w="3023"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2EB25D56">
            <w:pPr>
              <w:ind w:firstLine="0"/>
              <w:jc w:val="center"/>
            </w:pPr>
            <w:r>
              <w:rPr>
                <w:rFonts w:ascii="Times New Roman" w:hAnsi="Times New Roman" w:eastAsia="宋体"/>
                <w:b/>
                <w:bCs/>
                <w:color w:val="000000"/>
                <w:sz w:val="21"/>
                <w:szCs w:val="21"/>
              </w:rPr>
              <w:t>基线模型</w:t>
            </w:r>
          </w:p>
        </w:tc>
        <w:tc>
          <w:tcPr>
            <w:tcW w:w="3024"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7CD7000B">
            <w:pPr>
              <w:ind w:firstLine="0"/>
              <w:jc w:val="center"/>
            </w:pPr>
            <w:r>
              <w:rPr>
                <w:rFonts w:ascii="Times New Roman" w:hAnsi="Times New Roman" w:eastAsia="宋体"/>
                <w:b/>
                <w:bCs/>
                <w:color w:val="000000"/>
                <w:sz w:val="21"/>
                <w:szCs w:val="21"/>
              </w:rPr>
              <w:t>增强模型</w:t>
            </w:r>
          </w:p>
        </w:tc>
      </w:tr>
      <w:tr w14:paraId="18935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412ACD34">
            <w:pPr>
              <w:ind w:firstLine="0"/>
              <w:jc w:val="center"/>
            </w:pPr>
            <w:r>
              <w:rPr>
                <w:rFonts w:ascii="Times New Roman" w:hAnsi="Times New Roman" w:eastAsia="宋体"/>
                <w:b w:val="0"/>
                <w:bCs w:val="0"/>
                <w:color w:val="000000"/>
                <w:sz w:val="21"/>
                <w:szCs w:val="21"/>
              </w:rPr>
              <w:t>爬升</w:t>
            </w:r>
          </w:p>
        </w:tc>
        <w:tc>
          <w:tcPr>
            <w:tcW w:w="3023" w:type="dxa"/>
            <w:tcBorders>
              <w:top w:val="nil"/>
              <w:left w:val="nil"/>
              <w:bottom w:val="nil"/>
              <w:right w:val="nil"/>
            </w:tcBorders>
            <w:shd w:val="clear" w:color="auto" w:fill="FFFFFF"/>
            <w:tcMar>
              <w:top w:w="80" w:type="dxa"/>
              <w:left w:w="120" w:type="dxa"/>
              <w:bottom w:w="80" w:type="dxa"/>
              <w:right w:w="120" w:type="dxa"/>
            </w:tcMar>
          </w:tcPr>
          <w:p w14:paraId="60D4CF0B">
            <w:pPr>
              <w:ind w:firstLine="0"/>
              <w:jc w:val="center"/>
            </w:pPr>
            <w:r>
              <w:rPr>
                <w:rFonts w:ascii="Times New Roman" w:hAnsi="Times New Roman" w:eastAsia="宋体"/>
                <w:b w:val="0"/>
                <w:bCs w:val="0"/>
                <w:color w:val="000000"/>
                <w:sz w:val="21"/>
                <w:szCs w:val="21"/>
              </w:rPr>
              <w:t>QuadrotorModel.Task.ClimbBaseline</w:t>
            </w:r>
          </w:p>
        </w:tc>
        <w:tc>
          <w:tcPr>
            <w:tcW w:w="3024" w:type="dxa"/>
            <w:tcBorders>
              <w:top w:val="nil"/>
              <w:left w:val="nil"/>
              <w:bottom w:val="nil"/>
              <w:right w:val="nil"/>
            </w:tcBorders>
            <w:shd w:val="clear" w:color="auto" w:fill="FFFFFF"/>
            <w:tcMar>
              <w:top w:w="80" w:type="dxa"/>
              <w:left w:w="120" w:type="dxa"/>
              <w:bottom w:w="80" w:type="dxa"/>
              <w:right w:w="120" w:type="dxa"/>
            </w:tcMar>
          </w:tcPr>
          <w:p w14:paraId="4F0D4BB3">
            <w:pPr>
              <w:ind w:firstLine="0"/>
              <w:jc w:val="center"/>
            </w:pPr>
            <w:r>
              <w:rPr>
                <w:rFonts w:ascii="Times New Roman" w:hAnsi="Times New Roman" w:eastAsia="宋体"/>
                <w:b w:val="0"/>
                <w:bCs w:val="0"/>
                <w:color w:val="000000"/>
                <w:sz w:val="21"/>
                <w:szCs w:val="21"/>
              </w:rPr>
              <w:t>QuadrotorModel.Task.ClimbEnhanced</w:t>
            </w:r>
          </w:p>
        </w:tc>
      </w:tr>
      <w:tr w14:paraId="42B49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54034CBA">
            <w:pPr>
              <w:ind w:firstLine="0"/>
              <w:jc w:val="center"/>
            </w:pPr>
            <w:r>
              <w:rPr>
                <w:rFonts w:ascii="Times New Roman" w:hAnsi="Times New Roman" w:eastAsia="宋体"/>
                <w:b w:val="0"/>
                <w:bCs w:val="0"/>
                <w:color w:val="000000"/>
                <w:sz w:val="21"/>
                <w:szCs w:val="21"/>
              </w:rPr>
              <w:t>螺旋爬升</w:t>
            </w:r>
          </w:p>
        </w:tc>
        <w:tc>
          <w:tcPr>
            <w:tcW w:w="3023" w:type="dxa"/>
            <w:tcBorders>
              <w:top w:val="nil"/>
              <w:left w:val="nil"/>
              <w:bottom w:val="nil"/>
              <w:right w:val="nil"/>
            </w:tcBorders>
            <w:shd w:val="clear" w:color="auto" w:fill="FFFFFF"/>
            <w:tcMar>
              <w:top w:w="80" w:type="dxa"/>
              <w:left w:w="120" w:type="dxa"/>
              <w:bottom w:w="80" w:type="dxa"/>
              <w:right w:w="120" w:type="dxa"/>
            </w:tcMar>
          </w:tcPr>
          <w:p w14:paraId="64252A6D">
            <w:pPr>
              <w:ind w:firstLine="0"/>
              <w:jc w:val="center"/>
            </w:pPr>
            <w:r>
              <w:rPr>
                <w:rFonts w:ascii="Times New Roman" w:hAnsi="Times New Roman" w:eastAsia="宋体"/>
                <w:b w:val="0"/>
                <w:bCs w:val="0"/>
                <w:color w:val="000000"/>
                <w:sz w:val="21"/>
                <w:szCs w:val="21"/>
              </w:rPr>
              <w:t>QuadrotorModel.Task.SpiralBaseline</w:t>
            </w:r>
          </w:p>
        </w:tc>
        <w:tc>
          <w:tcPr>
            <w:tcW w:w="3024" w:type="dxa"/>
            <w:tcBorders>
              <w:top w:val="nil"/>
              <w:left w:val="nil"/>
              <w:bottom w:val="nil"/>
              <w:right w:val="nil"/>
            </w:tcBorders>
            <w:shd w:val="clear" w:color="auto" w:fill="FFFFFF"/>
            <w:tcMar>
              <w:top w:w="80" w:type="dxa"/>
              <w:left w:w="120" w:type="dxa"/>
              <w:bottom w:w="80" w:type="dxa"/>
              <w:right w:w="120" w:type="dxa"/>
            </w:tcMar>
          </w:tcPr>
          <w:p w14:paraId="19DC05C5">
            <w:pPr>
              <w:ind w:firstLine="0"/>
              <w:jc w:val="center"/>
            </w:pPr>
            <w:r>
              <w:rPr>
                <w:rFonts w:ascii="Times New Roman" w:hAnsi="Times New Roman" w:eastAsia="宋体"/>
                <w:b w:val="0"/>
                <w:bCs w:val="0"/>
                <w:color w:val="000000"/>
                <w:sz w:val="21"/>
                <w:szCs w:val="21"/>
              </w:rPr>
              <w:t>QuadrotorModel.Task.SpiralEnhanced</w:t>
            </w:r>
          </w:p>
        </w:tc>
      </w:tr>
      <w:tr w14:paraId="621A8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single" w:color="000000" w:sz="12" w:space="0"/>
              <w:right w:val="nil"/>
            </w:tcBorders>
            <w:shd w:val="clear" w:color="auto" w:fill="FFFFFF"/>
            <w:tcMar>
              <w:top w:w="80" w:type="dxa"/>
              <w:left w:w="120" w:type="dxa"/>
              <w:bottom w:w="80" w:type="dxa"/>
              <w:right w:w="120" w:type="dxa"/>
            </w:tcMar>
          </w:tcPr>
          <w:p w14:paraId="44803997">
            <w:pPr>
              <w:ind w:firstLine="0"/>
              <w:jc w:val="center"/>
            </w:pPr>
            <w:r>
              <w:rPr>
                <w:rFonts w:ascii="Times New Roman" w:hAnsi="Times New Roman" w:eastAsia="宋体"/>
                <w:b w:val="0"/>
                <w:bCs w:val="0"/>
                <w:color w:val="000000"/>
                <w:sz w:val="21"/>
                <w:szCs w:val="21"/>
              </w:rPr>
              <w:t>“8”字飞行</w:t>
            </w:r>
          </w:p>
        </w:tc>
        <w:tc>
          <w:tcPr>
            <w:tcW w:w="3023" w:type="dxa"/>
            <w:tcBorders>
              <w:top w:val="nil"/>
              <w:left w:val="nil"/>
              <w:bottom w:val="single" w:color="000000" w:sz="12" w:space="0"/>
              <w:right w:val="nil"/>
            </w:tcBorders>
            <w:shd w:val="clear" w:color="auto" w:fill="FFFFFF"/>
            <w:tcMar>
              <w:top w:w="80" w:type="dxa"/>
              <w:left w:w="120" w:type="dxa"/>
              <w:bottom w:w="80" w:type="dxa"/>
              <w:right w:w="120" w:type="dxa"/>
            </w:tcMar>
          </w:tcPr>
          <w:p w14:paraId="6CFF5EFA">
            <w:pPr>
              <w:ind w:firstLine="0"/>
              <w:jc w:val="center"/>
            </w:pPr>
            <w:r>
              <w:rPr>
                <w:rFonts w:ascii="Times New Roman" w:hAnsi="Times New Roman" w:eastAsia="宋体"/>
                <w:b w:val="0"/>
                <w:bCs w:val="0"/>
                <w:color w:val="000000"/>
                <w:sz w:val="21"/>
                <w:szCs w:val="21"/>
              </w:rPr>
              <w:t>QuadrotorModel.Task.EightBaseline</w:t>
            </w:r>
          </w:p>
        </w:tc>
        <w:tc>
          <w:tcPr>
            <w:tcW w:w="3024" w:type="dxa"/>
            <w:tcBorders>
              <w:top w:val="nil"/>
              <w:left w:val="nil"/>
              <w:bottom w:val="single" w:color="000000" w:sz="12" w:space="0"/>
              <w:right w:val="nil"/>
            </w:tcBorders>
            <w:shd w:val="clear" w:color="auto" w:fill="FFFFFF"/>
            <w:tcMar>
              <w:top w:w="80" w:type="dxa"/>
              <w:left w:w="120" w:type="dxa"/>
              <w:bottom w:w="80" w:type="dxa"/>
              <w:right w:w="120" w:type="dxa"/>
            </w:tcMar>
          </w:tcPr>
          <w:p w14:paraId="2EFCF5A9">
            <w:pPr>
              <w:ind w:firstLine="0"/>
              <w:jc w:val="center"/>
            </w:pPr>
            <w:r>
              <w:rPr>
                <w:rFonts w:ascii="Times New Roman" w:hAnsi="Times New Roman" w:eastAsia="宋体"/>
                <w:b w:val="0"/>
                <w:bCs w:val="0"/>
                <w:color w:val="000000"/>
                <w:sz w:val="21"/>
                <w:szCs w:val="21"/>
              </w:rPr>
              <w:t>QuadrotorModel.Task.EightEnhanced</w:t>
            </w:r>
          </w:p>
        </w:tc>
      </w:tr>
    </w:tbl>
    <w:p w14:paraId="2C6FABBF">
      <w:pPr>
        <w:spacing w:line="360" w:lineRule="auto"/>
        <w:ind w:firstLine="480"/>
        <w:rPr>
          <w:color w:val="000000"/>
        </w:rPr>
      </w:pPr>
    </w:p>
    <w:p w14:paraId="143BFFC3">
      <w:pPr>
        <w:spacing w:line="360" w:lineRule="auto"/>
        <w:ind w:firstLine="480"/>
      </w:pPr>
      <w:r>
        <w:rPr>
          <w:color w:val="000000"/>
        </w:rPr>
        <w:t>增强型模型并非简单的PID参数调谐。它们利用Modelica的重新声明机制，从结构上将控制器替换为SlidingModeController，其中横向外环采用HybridPIDSlidingMode复合滑模控制。</w:t>
      </w:r>
    </w:p>
    <w:p w14:paraId="62A9D14B">
      <w:pPr>
        <w:pStyle w:val="3"/>
        <w:spacing w:before="180" w:after="90" w:line="360" w:lineRule="auto"/>
        <w:ind w:firstLine="0"/>
        <w:jc w:val="left"/>
      </w:pPr>
      <w:r>
        <w:rPr>
          <w:rFonts w:ascii="Times New Roman" w:hAnsi="Times New Roman" w:eastAsia="黑体"/>
          <w:b/>
          <w:bCs/>
          <w:color w:val="000000"/>
          <w:sz w:val="30"/>
          <w:szCs w:val="30"/>
        </w:rPr>
        <w:t>5. 仿真结果与性能</w:t>
      </w:r>
    </w:p>
    <w:p w14:paraId="4348C999">
      <w:pPr>
        <w:pStyle w:val="4"/>
        <w:spacing w:before="120" w:after="60" w:line="360" w:lineRule="auto"/>
        <w:ind w:firstLine="0"/>
        <w:jc w:val="left"/>
      </w:pPr>
      <w:r>
        <w:rPr>
          <w:rFonts w:ascii="Times New Roman" w:hAnsi="Times New Roman" w:eastAsia="黑体"/>
          <w:b/>
          <w:bCs/>
          <w:color w:val="000000"/>
          <w:sz w:val="24"/>
          <w:szCs w:val="24"/>
        </w:rPr>
        <w:t>5.1 验证范围定义</w:t>
      </w:r>
    </w:p>
    <w:p w14:paraId="4D0BEFA2">
      <w:pPr>
        <w:spacing w:line="360" w:lineRule="auto"/>
        <w:ind w:firstLine="480"/>
      </w:pPr>
      <w:r>
        <w:rPr>
          <w:color w:val="000000"/>
        </w:rPr>
        <w:t>在呈现结果之前，必须明确界定三个不同的验证范围：</w:t>
      </w:r>
    </w:p>
    <w:p w14:paraId="67754C71">
      <w:pPr>
        <w:spacing w:line="360" w:lineRule="auto"/>
        <w:ind w:firstLine="480"/>
      </w:pPr>
      <w:r>
        <w:rPr>
          <w:color w:val="000000"/>
        </w:rPr>
        <w:t>实时仿真范围：在 MWORKS 实时求解环境下，对基线 PID 控制器与增强型复合滑模控制器进行直接比较。这是主要性能评估。</w:t>
      </w:r>
    </w:p>
    <w:p w14:paraId="1DDB117C">
      <w:pPr>
        <w:spacing w:line="360" w:lineRule="auto"/>
        <w:ind w:firstLine="480"/>
      </w:pPr>
      <w:r>
        <w:rPr>
          <w:color w:val="000000"/>
        </w:rPr>
        <w:t>离线回放范围：在后处理阶段，对增强型模型轨迹数据应用 CBF/PPC/ERG 安全链补偿。这展示了安全链架构的理论上限。</w:t>
      </w:r>
    </w:p>
    <w:p w14:paraId="28FDBC87">
      <w:pPr>
        <w:spacing w:line="360" w:lineRule="auto"/>
        <w:ind w:firstLine="480"/>
      </w:pPr>
      <w:r>
        <w:rPr>
          <w:color w:val="000000"/>
        </w:rPr>
        <w:t>蒙特卡洛分析范围：初赛版本的 180 次“随机扰动模拟”并未对模型施加扰动重新求解，其计算方式与被测控制器无关，相关结论已作废，说明见 5.7 节。</w:t>
      </w:r>
    </w:p>
    <w:p w14:paraId="0EF1BBEE">
      <w:pPr>
        <w:pStyle w:val="4"/>
        <w:spacing w:before="120" w:after="60" w:line="360" w:lineRule="auto"/>
        <w:ind w:firstLine="0"/>
        <w:jc w:val="left"/>
      </w:pPr>
      <w:r>
        <w:rPr>
          <w:rFonts w:ascii="Times New Roman" w:hAnsi="Times New Roman" w:eastAsia="黑体"/>
          <w:b/>
          <w:bCs/>
          <w:color w:val="000000"/>
          <w:sz w:val="24"/>
          <w:szCs w:val="24"/>
        </w:rPr>
        <w:t>5.2 爬升场景性能</w:t>
      </w:r>
    </w:p>
    <w:p w14:paraId="4C483201">
      <w:pPr>
        <w:spacing w:line="360" w:lineRule="auto"/>
        <w:ind w:firstLine="480"/>
      </w:pPr>
      <w:r>
        <w:rPr>
          <w:color w:val="000000"/>
        </w:rPr>
        <w:t>爬升场景用于测试控制器的高度指令跟踪能力、动态响应及稳态稳定性。仿真时长为0至50秒，采样间隔固定为0.01秒，从初始高度执行阶跃爬升。</w:t>
      </w:r>
    </w:p>
    <w:p w14:paraId="542D0318">
      <w:pPr>
        <w:spacing w:line="360" w:lineRule="auto"/>
        <w:ind w:firstLine="480"/>
      </w:pPr>
      <w:r>
        <w:rPr>
          <w:color w:val="000000"/>
        </w:rPr>
        <w:t>复合滑模控制器在此场景中表现出了显著的优化效果。基准模型的航迹均方根误差（RMSE）为 0.275253 m，而增强型模型将其降低至 0.228024 m，改善幅度达 17.16%。 平均误差从 0.140271 m 降至 0.105066 m（下降 25.10%）。高度阶跃响应超调量从 1.691% 降至 1.525%，表明动态过渡平滑度有所提升。增强型模型的飞行曲线更紧密地跟踪参考轨迹，振荡振幅明显减小。</w:t>
      </w:r>
    </w:p>
    <w:p w14:paraId="664E1C61">
      <w:pPr>
        <w:spacing w:line="360" w:lineRule="auto"/>
        <w:ind w:firstLine="480"/>
      </w:pPr>
      <w:r>
        <w:rPr>
          <w:color w:val="000000"/>
        </w:rPr>
        <w:t>在姿态安全性方面，基准模型在整个过程中未出现任何姿态违规，而增强模型则出现了 3 个违规点。这是因为复合滑模控制器的切换控制律在轨迹跟踪过程中产生了瞬态的大控制转矩，导致姿态角短暂超过了 15 度的阈值。这一现象反映了跟踪精度与姿态安全性之间的固有权衡，这也正是 CBF/PPC/ERG 安全链设计的核心动机。</w:t>
      </w:r>
    </w:p>
    <w:p w14:paraId="7846354C">
      <w:pPr>
        <w:ind w:firstLine="0"/>
        <w:jc w:val="center"/>
      </w:pPr>
      <w:r>
        <w:drawing>
          <wp:inline distT="0" distB="0" distL="0" distR="0">
            <wp:extent cx="5486400" cy="3524250"/>
            <wp:effectExtent l="0" t="0" r="0" b="0"/>
            <wp:docPr id="1" name="user_fig_image1.png" descr="figures/user_fig_image1.png" title="user_fig_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er_fig_image1.png" descr="figures/user_fig_image1.png" title="user_fig_image1.png"/>
                    <pic:cNvPicPr>
                      <a:picLocks noChangeAspect="1" noChangeArrowheads="1"/>
                    </pic:cNvPicPr>
                  </pic:nvPicPr>
                  <pic:blipFill>
                    <a:blip r:embed="rId5"/>
                    <a:srcRect/>
                    <a:stretch>
                      <a:fillRect/>
                    </a:stretch>
                  </pic:blipFill>
                  <pic:spPr>
                    <a:xfrm>
                      <a:off x="0" y="0"/>
                      <a:ext cx="5486400" cy="3524250"/>
                    </a:xfrm>
                    <a:prstGeom prst="rect">
                      <a:avLst/>
                    </a:prstGeom>
                  </pic:spPr>
                </pic:pic>
              </a:graphicData>
            </a:graphic>
          </wp:inline>
        </w:drawing>
      </w:r>
    </w:p>
    <w:p w14:paraId="5E3CE378">
      <w:pPr>
        <w:spacing w:before="60" w:after="120"/>
        <w:ind w:firstLine="0"/>
        <w:jc w:val="center"/>
        <w:rPr>
          <w:rFonts w:eastAsia="宋体"/>
          <w:b/>
          <w:bCs/>
          <w:color w:val="000000"/>
          <w:sz w:val="21"/>
          <w:szCs w:val="21"/>
        </w:rPr>
      </w:pPr>
      <w:r>
        <w:rPr>
          <w:rFonts w:eastAsia="宋体"/>
          <w:b/>
          <w:bCs/>
          <w:color w:val="000000"/>
          <w:sz w:val="21"/>
          <w:szCs w:val="21"/>
        </w:rPr>
        <w:t>图1：爬升场景下的高度随时间变化曲线。参考高度指令（虚线）与基准PID响应（红色）及增强型复合滑模响应（蓝色）叠加显示。增强型模型对10m阶跃指令的跟踪更为紧密，且在t=5s后振荡振幅减小，均方根误差（RMSE）降低了 17.16%。</w:t>
      </w:r>
    </w:p>
    <w:p w14:paraId="355CF86F">
      <w:pPr>
        <w:spacing w:before="60" w:after="120"/>
        <w:ind w:firstLine="0"/>
        <w:jc w:val="center"/>
        <w:rPr>
          <w:rFonts w:eastAsia="宋体"/>
          <w:b/>
          <w:bCs/>
          <w:color w:val="000000"/>
          <w:sz w:val="21"/>
          <w:szCs w:val="21"/>
        </w:rPr>
      </w:pPr>
    </w:p>
    <w:p w14:paraId="734B3A4C">
      <w:pPr>
        <w:pStyle w:val="4"/>
        <w:spacing w:before="120" w:after="60" w:line="360" w:lineRule="auto"/>
        <w:ind w:firstLine="0"/>
        <w:jc w:val="left"/>
      </w:pPr>
      <w:r>
        <w:rPr>
          <w:rFonts w:ascii="Times New Roman" w:hAnsi="Times New Roman" w:eastAsia="黑体"/>
          <w:b/>
          <w:bCs/>
          <w:color w:val="000000"/>
          <w:sz w:val="24"/>
          <w:szCs w:val="24"/>
        </w:rPr>
        <w:t>5.3 螺旋爬升场景性能</w:t>
      </w:r>
    </w:p>
    <w:p w14:paraId="7FFB6687">
      <w:pPr>
        <w:spacing w:line="360" w:lineRule="auto"/>
        <w:ind w:firstLine="480"/>
      </w:pPr>
      <w:r>
        <w:rPr>
          <w:color w:val="000000"/>
        </w:rPr>
        <w:t>螺旋爬升是一种复合运动场景，无人机必须在0至50秒内同时执行垂直爬升和水平圆周运动。平移动力学与旋转动力学之间的耦合显著增加了控制协调的难度，模拟了输电线路检查和低空环绕飞行等实际操作场景。</w:t>
      </w:r>
    </w:p>
    <w:p w14:paraId="7821681E">
      <w:pPr>
        <w:spacing w:line="360" w:lineRule="auto"/>
        <w:ind w:firstLine="480"/>
      </w:pPr>
      <w:r>
        <w:rPr>
          <w:color w:val="000000"/>
        </w:rPr>
        <w:t>由于高度-横向耦合效应，与基本爬升场景相比，优化余地有所缩小。基准模型的航迹均方根误差（RMSE）为 0.487183 m，增强型模型达到 0.474398 m，改善幅度为 2.62%。 尽管该均方根误差（RMSE）的改善幅度有限，但平均路径误差从 0.302127 m 降至 0.244043 m（下降 19.22%），表明复合滑模控制器仍能对中低频跟踪误差分量提供明显的校正。</w:t>
      </w:r>
    </w:p>
    <w:p w14:paraId="57497D96">
      <w:pPr>
        <w:spacing w:line="360" w:lineRule="auto"/>
        <w:ind w:firstLine="480"/>
      </w:pPr>
      <w:r>
        <w:rPr>
          <w:color w:val="000000"/>
        </w:rPr>
        <w:t>RMSE 改善幅度有限在物理上是有道理的：RMSE 对大振幅误差非常敏感（先累积平方值，再求平方根），而螺旋爬升动力学会因高度-圆周耦合而产生频繁的、短时、高振幅的跟踪瞬态尖峰。 滑模切换项有效抑制了持续的中低频稳态漂移（体现在显著的平均误差降低上），但对耦合引起的尖峰型瞬态误差的抑制能力有限。此外，由于当前的增强方案仅替换了横向位置的外环，因此高度-水平耦合通道的响应特性仍主要由原始PID控制。</w:t>
      </w:r>
    </w:p>
    <w:p w14:paraId="00870088">
      <w:pPr>
        <w:ind w:firstLine="0"/>
        <w:jc w:val="center"/>
      </w:pPr>
      <w:r>
        <w:drawing>
          <wp:inline distT="0" distB="0" distL="0" distR="0">
            <wp:extent cx="5486400" cy="3524250"/>
            <wp:effectExtent l="0" t="0" r="0" b="0"/>
            <wp:docPr id="2" name="user_fig_image2.png" descr="figures/user_fig_image2.png" title="user_fig_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ser_fig_image2.png" descr="figures/user_fig_image2.png" title="user_fig_image2.png"/>
                    <pic:cNvPicPr>
                      <a:picLocks noChangeAspect="1" noChangeArrowheads="1"/>
                    </pic:cNvPicPr>
                  </pic:nvPicPr>
                  <pic:blipFill>
                    <a:blip r:embed="rId6"/>
                    <a:srcRect/>
                    <a:stretch>
                      <a:fillRect/>
                    </a:stretch>
                  </pic:blipFill>
                  <pic:spPr>
                    <a:xfrm>
                      <a:off x="0" y="0"/>
                      <a:ext cx="5486400" cy="3524250"/>
                    </a:xfrm>
                    <a:prstGeom prst="rect">
                      <a:avLst/>
                    </a:prstGeom>
                  </pic:spPr>
                </pic:pic>
              </a:graphicData>
            </a:graphic>
          </wp:inline>
        </w:drawing>
      </w:r>
    </w:p>
    <w:p w14:paraId="1DDFF426">
      <w:pPr>
        <w:spacing w:before="60" w:after="120"/>
        <w:ind w:firstLine="0"/>
        <w:jc w:val="center"/>
      </w:pPr>
      <w:r>
        <w:rPr>
          <w:rFonts w:eastAsia="宋体"/>
          <w:b/>
          <w:bCs/>
          <w:color w:val="000000"/>
          <w:sz w:val="21"/>
          <w:szCs w:val="21"/>
        </w:rPr>
        <w:t>图 2：螺旋爬升场景的 XY 平面轨迹。基准模型（红色）和增强模型（蓝色）均沿螺旋参考路径运行；增强模型在转弯点处的跟踪精度更高，平均误差降低了 19.22%。</w:t>
      </w:r>
    </w:p>
    <w:p w14:paraId="40B3121D">
      <w:pPr>
        <w:pStyle w:val="4"/>
        <w:spacing w:before="120" w:after="60" w:line="360" w:lineRule="auto"/>
        <w:ind w:firstLine="0"/>
        <w:jc w:val="left"/>
        <w:rPr>
          <w:rFonts w:ascii="Times New Roman" w:hAnsi="Times New Roman" w:eastAsia="黑体"/>
          <w:b/>
          <w:bCs/>
          <w:color w:val="000000"/>
          <w:sz w:val="24"/>
          <w:szCs w:val="24"/>
        </w:rPr>
      </w:pPr>
    </w:p>
    <w:p w14:paraId="78E3C447">
      <w:pPr>
        <w:pStyle w:val="4"/>
        <w:spacing w:before="120" w:after="60" w:line="360" w:lineRule="auto"/>
        <w:ind w:firstLine="0"/>
        <w:jc w:val="left"/>
      </w:pPr>
      <w:r>
        <w:rPr>
          <w:rFonts w:ascii="Times New Roman" w:hAnsi="Times New Roman" w:eastAsia="黑体"/>
          <w:b/>
          <w:bCs/>
          <w:color w:val="000000"/>
          <w:sz w:val="24"/>
          <w:szCs w:val="24"/>
        </w:rPr>
        <w:t>5.4 数字“8”形场景性能</w:t>
      </w:r>
    </w:p>
    <w:p w14:paraId="203EAAA3">
      <w:pPr>
        <w:spacing w:line="360" w:lineRule="auto"/>
        <w:ind w:firstLine="480"/>
      </w:pPr>
      <w:r>
        <w:rPr>
          <w:color w:val="000000"/>
        </w:rPr>
        <w:t>“8”字轨迹是一种广泛使用的周期性复杂轨迹，需要频繁改变方向，且航向和位置持续变化。为实现完整的数据覆盖，仿真时长延长至 0-120 秒。整个飞行过程中不存在较长的恒速段，剧烈的动态变化要求控制系统具备较高的实时调节能力。</w:t>
      </w:r>
    </w:p>
    <w:p w14:paraId="28675FBA">
      <w:pPr>
        <w:spacing w:line="360" w:lineRule="auto"/>
        <w:ind w:firstLine="480"/>
      </w:pPr>
      <w:r>
        <w:rPr>
          <w:color w:val="000000"/>
        </w:rPr>
        <w:t>在该复杂的周期性场景中，复合滑模控制器再次展现出卓越的性能。基准模型的轨迹均方根误差（RMSE）为 0.172311 m，增强型模型将其降低至 0.149095 m，误差减少了 13.47%。 平均路径误差从 0.097548 m 降至 0.072253 m（下降 25.93%），表明轨迹跟踪精度显著提升。两种模型在整个“8”字飞行过程中均未出现姿态偏差，证实该算法能在复杂的变向条件下同时保持跟踪精度和姿态稳定性。</w:t>
      </w:r>
    </w:p>
    <w:p w14:paraId="73D0F52A">
      <w:pPr>
        <w:ind w:firstLine="0"/>
        <w:jc w:val="center"/>
      </w:pPr>
      <w:r>
        <w:drawing>
          <wp:inline distT="0" distB="0" distL="0" distR="0">
            <wp:extent cx="5486400" cy="3524250"/>
            <wp:effectExtent l="0" t="0" r="0" b="0"/>
            <wp:docPr id="3" name="user_fig_image3.png" descr="figures/user_fig_image3.png" title="user_fig_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ser_fig_image3.png" descr="figures/user_fig_image3.png" title="user_fig_image3.png"/>
                    <pic:cNvPicPr>
                      <a:picLocks noChangeAspect="1" noChangeArrowheads="1"/>
                    </pic:cNvPicPr>
                  </pic:nvPicPr>
                  <pic:blipFill>
                    <a:blip r:embed="rId7"/>
                    <a:srcRect/>
                    <a:stretch>
                      <a:fillRect/>
                    </a:stretch>
                  </pic:blipFill>
                  <pic:spPr>
                    <a:xfrm>
                      <a:off x="0" y="0"/>
                      <a:ext cx="5486400" cy="3524250"/>
                    </a:xfrm>
                    <a:prstGeom prst="rect">
                      <a:avLst/>
                    </a:prstGeom>
                  </pic:spPr>
                </pic:pic>
              </a:graphicData>
            </a:graphic>
          </wp:inline>
        </w:drawing>
      </w:r>
    </w:p>
    <w:p w14:paraId="64C1AD1A">
      <w:pPr>
        <w:spacing w:before="60" w:after="120"/>
        <w:ind w:firstLine="0"/>
        <w:jc w:val="center"/>
        <w:rPr>
          <w:rFonts w:eastAsia="宋体"/>
          <w:b/>
          <w:bCs/>
          <w:color w:val="000000"/>
          <w:sz w:val="21"/>
          <w:szCs w:val="21"/>
        </w:rPr>
      </w:pPr>
      <w:r>
        <w:rPr>
          <w:rFonts w:eastAsia="宋体"/>
          <w:b/>
          <w:bCs/>
          <w:color w:val="000000"/>
          <w:sz w:val="21"/>
          <w:szCs w:val="21"/>
        </w:rPr>
        <w:t>图 3：持续 120 秒的 XY 平面“8”字形轨迹跟踪。与基线模型（红色）相比，增强模型（蓝色）更紧密地贴合周期性参考路径（虚线），特别是在方向反转的拐点处，实现了 13.47% 的均方根误差（RMSE）降低。</w:t>
      </w:r>
    </w:p>
    <w:p w14:paraId="7254622F">
      <w:pPr>
        <w:spacing w:before="60" w:after="120"/>
        <w:ind w:firstLine="0"/>
        <w:jc w:val="center"/>
        <w:rPr>
          <w:rFonts w:eastAsia="宋体"/>
          <w:b/>
          <w:bCs/>
          <w:color w:val="000000"/>
          <w:sz w:val="21"/>
          <w:szCs w:val="21"/>
        </w:rPr>
      </w:pPr>
    </w:p>
    <w:p w14:paraId="33DB4BCE">
      <w:pPr>
        <w:pStyle w:val="4"/>
        <w:spacing w:before="120" w:after="60" w:line="360" w:lineRule="auto"/>
        <w:ind w:firstLine="0"/>
        <w:jc w:val="left"/>
      </w:pPr>
      <w:r>
        <w:rPr>
          <w:rFonts w:ascii="Times New Roman" w:hAnsi="Times New Roman" w:eastAsia="黑体"/>
          <w:b/>
          <w:bCs/>
          <w:color w:val="000000"/>
          <w:sz w:val="24"/>
          <w:szCs w:val="24"/>
        </w:rPr>
        <w:t>5.5 性能比较总结</w:t>
      </w:r>
    </w:p>
    <w:p w14:paraId="72D21A20">
      <w:pPr>
        <w:spacing w:line="360" w:lineRule="auto"/>
        <w:ind w:firstLine="480"/>
      </w:pPr>
      <w:r>
        <w:rPr>
          <w:color w:val="000000"/>
        </w:rPr>
        <w:t>下表汇总了三个场景下的所有性能指标：</w:t>
      </w:r>
    </w:p>
    <w:tbl>
      <w:tblPr>
        <w:tblStyle w:val="11"/>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511"/>
        <w:gridCol w:w="1511"/>
        <w:gridCol w:w="1511"/>
        <w:gridCol w:w="1511"/>
        <w:gridCol w:w="1511"/>
        <w:gridCol w:w="1515"/>
      </w:tblGrid>
      <w:tr w14:paraId="55A80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11"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0FE33658">
            <w:pPr>
              <w:ind w:firstLine="0"/>
              <w:jc w:val="center"/>
            </w:pPr>
            <w:r>
              <w:rPr>
                <w:rFonts w:ascii="Times New Roman" w:hAnsi="Times New Roman" w:eastAsia="宋体"/>
                <w:b/>
                <w:bCs/>
                <w:color w:val="000000"/>
                <w:sz w:val="21"/>
                <w:szCs w:val="21"/>
              </w:rPr>
              <w:t>场景</w:t>
            </w:r>
          </w:p>
        </w:tc>
        <w:tc>
          <w:tcPr>
            <w:tcW w:w="1511"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3D2D6ECC">
            <w:pPr>
              <w:ind w:firstLine="0"/>
              <w:jc w:val="center"/>
            </w:pPr>
            <w:r>
              <w:rPr>
                <w:rFonts w:ascii="Times New Roman" w:hAnsi="Times New Roman" w:eastAsia="宋体"/>
                <w:b/>
                <w:bCs/>
                <w:color w:val="000000"/>
                <w:sz w:val="21"/>
                <w:szCs w:val="21"/>
              </w:rPr>
              <w:t>模型</w:t>
            </w:r>
          </w:p>
        </w:tc>
        <w:tc>
          <w:tcPr>
            <w:tcW w:w="1511"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43A6B755">
            <w:pPr>
              <w:ind w:firstLine="0"/>
              <w:jc w:val="center"/>
            </w:pPr>
            <w:r>
              <w:rPr>
                <w:rFonts w:ascii="Times New Roman" w:hAnsi="Times New Roman" w:eastAsia="宋体"/>
                <w:b/>
                <w:bCs/>
                <w:color w:val="000000"/>
                <w:sz w:val="21"/>
                <w:szCs w:val="21"/>
              </w:rPr>
              <w:t>路径均方根误差 (m)</w:t>
            </w:r>
          </w:p>
        </w:tc>
        <w:tc>
          <w:tcPr>
            <w:tcW w:w="1511"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35366BDD">
            <w:pPr>
              <w:ind w:firstLine="0"/>
              <w:jc w:val="center"/>
            </w:pPr>
            <w:r>
              <w:rPr>
                <w:rFonts w:ascii="Times New Roman" w:hAnsi="Times New Roman" w:eastAsia="宋体"/>
                <w:b/>
                <w:bCs/>
                <w:color w:val="000000"/>
                <w:sz w:val="21"/>
                <w:szCs w:val="21"/>
              </w:rPr>
              <w:t>平均误差 (m)</w:t>
            </w:r>
          </w:p>
        </w:tc>
        <w:tc>
          <w:tcPr>
            <w:tcW w:w="1511"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74D8F3BB">
            <w:pPr>
              <w:ind w:firstLine="0"/>
              <w:jc w:val="center"/>
            </w:pPr>
            <w:r>
              <w:rPr>
                <w:rFonts w:ascii="Times New Roman" w:hAnsi="Times New Roman" w:eastAsia="宋体"/>
                <w:b/>
                <w:bCs/>
                <w:color w:val="000000"/>
                <w:sz w:val="21"/>
                <w:szCs w:val="21"/>
              </w:rPr>
              <w:t>最大误差 (m)</w:t>
            </w:r>
          </w:p>
        </w:tc>
        <w:tc>
          <w:tcPr>
            <w:tcW w:w="151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2A14DF04">
            <w:pPr>
              <w:ind w:firstLine="0"/>
              <w:jc w:val="center"/>
            </w:pPr>
            <w:r>
              <w:rPr>
                <w:rFonts w:ascii="Times New Roman" w:hAnsi="Times New Roman" w:eastAsia="宋体"/>
                <w:b/>
                <w:bCs/>
                <w:color w:val="000000"/>
                <w:sz w:val="21"/>
                <w:szCs w:val="21"/>
              </w:rPr>
              <w:t>姿态偏差</w:t>
            </w:r>
          </w:p>
        </w:tc>
      </w:tr>
      <w:tr w14:paraId="50C3B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0E47BCD8">
            <w:pPr>
              <w:ind w:firstLine="0"/>
              <w:jc w:val="center"/>
            </w:pPr>
            <w:r>
              <w:rPr>
                <w:rFonts w:ascii="Times New Roman" w:hAnsi="Times New Roman" w:eastAsia="宋体"/>
                <w:b w:val="0"/>
                <w:bCs w:val="0"/>
                <w:color w:val="000000"/>
                <w:sz w:val="21"/>
                <w:szCs w:val="21"/>
              </w:rPr>
              <w:t>爬升</w:t>
            </w:r>
          </w:p>
        </w:tc>
        <w:tc>
          <w:tcPr>
            <w:tcW w:w="1511" w:type="dxa"/>
            <w:tcBorders>
              <w:top w:val="nil"/>
              <w:left w:val="nil"/>
              <w:bottom w:val="nil"/>
              <w:right w:val="nil"/>
            </w:tcBorders>
            <w:shd w:val="clear" w:color="auto" w:fill="FFFFFF"/>
            <w:tcMar>
              <w:top w:w="80" w:type="dxa"/>
              <w:left w:w="120" w:type="dxa"/>
              <w:bottom w:w="80" w:type="dxa"/>
              <w:right w:w="120" w:type="dxa"/>
            </w:tcMar>
          </w:tcPr>
          <w:p w14:paraId="33849EEE">
            <w:pPr>
              <w:ind w:firstLine="0"/>
              <w:jc w:val="center"/>
            </w:pPr>
            <w:r>
              <w:rPr>
                <w:rFonts w:ascii="Times New Roman" w:hAnsi="Times New Roman" w:eastAsia="宋体"/>
                <w:b w:val="0"/>
                <w:bCs w:val="0"/>
                <w:color w:val="000000"/>
                <w:sz w:val="21"/>
                <w:szCs w:val="21"/>
              </w:rPr>
              <w:t>基准</w:t>
            </w:r>
          </w:p>
        </w:tc>
        <w:tc>
          <w:tcPr>
            <w:tcW w:w="1511" w:type="dxa"/>
            <w:tcBorders>
              <w:top w:val="nil"/>
              <w:left w:val="nil"/>
              <w:bottom w:val="nil"/>
              <w:right w:val="nil"/>
            </w:tcBorders>
            <w:shd w:val="clear" w:color="auto" w:fill="FFFFFF"/>
            <w:tcMar>
              <w:top w:w="80" w:type="dxa"/>
              <w:left w:w="120" w:type="dxa"/>
              <w:bottom w:w="80" w:type="dxa"/>
              <w:right w:w="120" w:type="dxa"/>
            </w:tcMar>
          </w:tcPr>
          <w:p w14:paraId="7399B638">
            <w:pPr>
              <w:ind w:firstLine="0"/>
              <w:jc w:val="center"/>
            </w:pPr>
            <w:r>
              <w:rPr>
                <w:rFonts w:ascii="Times New Roman" w:hAnsi="Times New Roman" w:eastAsia="宋体"/>
                <w:b w:val="0"/>
                <w:bCs w:val="0"/>
                <w:color w:val="000000"/>
                <w:sz w:val="21"/>
                <w:szCs w:val="21"/>
              </w:rPr>
              <w:t>0.275253</w:t>
            </w:r>
          </w:p>
        </w:tc>
        <w:tc>
          <w:tcPr>
            <w:tcW w:w="1511" w:type="dxa"/>
            <w:tcBorders>
              <w:top w:val="nil"/>
              <w:left w:val="nil"/>
              <w:bottom w:val="nil"/>
              <w:right w:val="nil"/>
            </w:tcBorders>
            <w:shd w:val="clear" w:color="auto" w:fill="FFFFFF"/>
            <w:tcMar>
              <w:top w:w="80" w:type="dxa"/>
              <w:left w:w="120" w:type="dxa"/>
              <w:bottom w:w="80" w:type="dxa"/>
              <w:right w:w="120" w:type="dxa"/>
            </w:tcMar>
          </w:tcPr>
          <w:p w14:paraId="1645352D">
            <w:pPr>
              <w:ind w:firstLine="0"/>
              <w:jc w:val="center"/>
            </w:pPr>
            <w:r>
              <w:rPr>
                <w:rFonts w:ascii="Times New Roman" w:hAnsi="Times New Roman" w:eastAsia="宋体"/>
                <w:b w:val="0"/>
                <w:bCs w:val="0"/>
                <w:color w:val="000000"/>
                <w:sz w:val="21"/>
                <w:szCs w:val="21"/>
              </w:rPr>
              <w:t>0.140271</w:t>
            </w:r>
          </w:p>
        </w:tc>
        <w:tc>
          <w:tcPr>
            <w:tcW w:w="1511" w:type="dxa"/>
            <w:tcBorders>
              <w:top w:val="nil"/>
              <w:left w:val="nil"/>
              <w:bottom w:val="nil"/>
              <w:right w:val="nil"/>
            </w:tcBorders>
            <w:shd w:val="clear" w:color="auto" w:fill="FFFFFF"/>
            <w:tcMar>
              <w:top w:w="80" w:type="dxa"/>
              <w:left w:w="120" w:type="dxa"/>
              <w:bottom w:w="80" w:type="dxa"/>
              <w:right w:w="120" w:type="dxa"/>
            </w:tcMar>
          </w:tcPr>
          <w:p w14:paraId="0223CD8A">
            <w:pPr>
              <w:ind w:firstLine="0"/>
              <w:jc w:val="center"/>
            </w:pPr>
            <w:r>
              <w:rPr>
                <w:rFonts w:ascii="Times New Roman" w:hAnsi="Times New Roman" w:eastAsia="宋体"/>
                <w:b w:val="0"/>
                <w:bCs w:val="0"/>
                <w:color w:val="000000"/>
                <w:sz w:val="21"/>
                <w:szCs w:val="21"/>
              </w:rPr>
              <w:t>1.369402</w:t>
            </w:r>
          </w:p>
        </w:tc>
        <w:tc>
          <w:tcPr>
            <w:tcW w:w="1515" w:type="dxa"/>
            <w:tcBorders>
              <w:top w:val="nil"/>
              <w:left w:val="nil"/>
              <w:bottom w:val="nil"/>
              <w:right w:val="nil"/>
            </w:tcBorders>
            <w:shd w:val="clear" w:color="auto" w:fill="FFFFFF"/>
            <w:tcMar>
              <w:top w:w="80" w:type="dxa"/>
              <w:left w:w="120" w:type="dxa"/>
              <w:bottom w:w="80" w:type="dxa"/>
              <w:right w:w="120" w:type="dxa"/>
            </w:tcMar>
          </w:tcPr>
          <w:p w14:paraId="2596A56F">
            <w:pPr>
              <w:ind w:firstLine="0"/>
              <w:jc w:val="center"/>
            </w:pPr>
            <w:r>
              <w:rPr>
                <w:rFonts w:ascii="Times New Roman" w:hAnsi="Times New Roman" w:eastAsia="宋体"/>
                <w:b w:val="0"/>
                <w:bCs w:val="0"/>
                <w:color w:val="000000"/>
                <w:sz w:val="21"/>
                <w:szCs w:val="21"/>
              </w:rPr>
              <w:t>0</w:t>
            </w:r>
          </w:p>
        </w:tc>
      </w:tr>
      <w:tr w14:paraId="6DCBA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1BA02CD6">
            <w:pPr>
              <w:ind w:firstLine="0"/>
              <w:jc w:val="center"/>
            </w:pPr>
            <w:r>
              <w:rPr>
                <w:rFonts w:ascii="Times New Roman" w:hAnsi="Times New Roman" w:eastAsia="宋体"/>
                <w:b w:val="0"/>
                <w:bCs w:val="0"/>
                <w:color w:val="000000"/>
                <w:sz w:val="21"/>
                <w:szCs w:val="21"/>
              </w:rPr>
              <w:t>攀升</w:t>
            </w:r>
          </w:p>
        </w:tc>
        <w:tc>
          <w:tcPr>
            <w:tcW w:w="1511" w:type="dxa"/>
            <w:tcBorders>
              <w:top w:val="nil"/>
              <w:left w:val="nil"/>
              <w:bottom w:val="nil"/>
              <w:right w:val="nil"/>
            </w:tcBorders>
            <w:shd w:val="clear" w:color="auto" w:fill="FFFFFF"/>
            <w:tcMar>
              <w:top w:w="80" w:type="dxa"/>
              <w:left w:w="120" w:type="dxa"/>
              <w:bottom w:w="80" w:type="dxa"/>
              <w:right w:w="120" w:type="dxa"/>
            </w:tcMar>
          </w:tcPr>
          <w:p w14:paraId="797F19E5">
            <w:pPr>
              <w:ind w:firstLine="0"/>
              <w:jc w:val="center"/>
            </w:pPr>
            <w:r>
              <w:rPr>
                <w:rFonts w:ascii="Times New Roman" w:hAnsi="Times New Roman" w:eastAsia="宋体"/>
                <w:b w:val="0"/>
                <w:bCs w:val="0"/>
                <w:color w:val="000000"/>
                <w:sz w:val="21"/>
                <w:szCs w:val="21"/>
              </w:rPr>
              <w:t>增强</w:t>
            </w:r>
          </w:p>
        </w:tc>
        <w:tc>
          <w:tcPr>
            <w:tcW w:w="1511" w:type="dxa"/>
            <w:tcBorders>
              <w:top w:val="nil"/>
              <w:left w:val="nil"/>
              <w:bottom w:val="nil"/>
              <w:right w:val="nil"/>
            </w:tcBorders>
            <w:shd w:val="clear" w:color="auto" w:fill="FFFFFF"/>
            <w:tcMar>
              <w:top w:w="80" w:type="dxa"/>
              <w:left w:w="120" w:type="dxa"/>
              <w:bottom w:w="80" w:type="dxa"/>
              <w:right w:w="120" w:type="dxa"/>
            </w:tcMar>
          </w:tcPr>
          <w:p w14:paraId="760AD457">
            <w:pPr>
              <w:ind w:firstLine="0"/>
              <w:jc w:val="center"/>
            </w:pPr>
            <w:r>
              <w:rPr>
                <w:rFonts w:ascii="Times New Roman" w:hAnsi="Times New Roman" w:eastAsia="宋体"/>
                <w:b w:val="0"/>
                <w:bCs w:val="0"/>
                <w:color w:val="000000"/>
                <w:sz w:val="21"/>
                <w:szCs w:val="21"/>
              </w:rPr>
              <w:t>0.228024</w:t>
            </w:r>
          </w:p>
        </w:tc>
        <w:tc>
          <w:tcPr>
            <w:tcW w:w="1511" w:type="dxa"/>
            <w:tcBorders>
              <w:top w:val="nil"/>
              <w:left w:val="nil"/>
              <w:bottom w:val="nil"/>
              <w:right w:val="nil"/>
            </w:tcBorders>
            <w:shd w:val="clear" w:color="auto" w:fill="FFFFFF"/>
            <w:tcMar>
              <w:top w:w="80" w:type="dxa"/>
              <w:left w:w="120" w:type="dxa"/>
              <w:bottom w:w="80" w:type="dxa"/>
              <w:right w:w="120" w:type="dxa"/>
            </w:tcMar>
          </w:tcPr>
          <w:p w14:paraId="00244581">
            <w:pPr>
              <w:ind w:firstLine="0"/>
              <w:jc w:val="center"/>
            </w:pPr>
            <w:r>
              <w:rPr>
                <w:rFonts w:ascii="Times New Roman" w:hAnsi="Times New Roman" w:eastAsia="宋体"/>
                <w:b w:val="0"/>
                <w:bCs w:val="0"/>
                <w:color w:val="000000"/>
                <w:sz w:val="21"/>
                <w:szCs w:val="21"/>
              </w:rPr>
              <w:t>0.105066</w:t>
            </w:r>
          </w:p>
        </w:tc>
        <w:tc>
          <w:tcPr>
            <w:tcW w:w="1511" w:type="dxa"/>
            <w:tcBorders>
              <w:top w:val="nil"/>
              <w:left w:val="nil"/>
              <w:bottom w:val="nil"/>
              <w:right w:val="nil"/>
            </w:tcBorders>
            <w:shd w:val="clear" w:color="auto" w:fill="FFFFFF"/>
            <w:tcMar>
              <w:top w:w="80" w:type="dxa"/>
              <w:left w:w="120" w:type="dxa"/>
              <w:bottom w:w="80" w:type="dxa"/>
              <w:right w:w="120" w:type="dxa"/>
            </w:tcMar>
          </w:tcPr>
          <w:p w14:paraId="63E1E1DD">
            <w:pPr>
              <w:ind w:firstLine="0"/>
              <w:jc w:val="center"/>
            </w:pPr>
            <w:r>
              <w:rPr>
                <w:rFonts w:ascii="Times New Roman" w:hAnsi="Times New Roman" w:eastAsia="宋体"/>
                <w:b w:val="0"/>
                <w:bCs w:val="0"/>
                <w:color w:val="000000"/>
                <w:sz w:val="21"/>
                <w:szCs w:val="21"/>
              </w:rPr>
              <w:t>1.135127</w:t>
            </w:r>
          </w:p>
        </w:tc>
        <w:tc>
          <w:tcPr>
            <w:tcW w:w="1515" w:type="dxa"/>
            <w:tcBorders>
              <w:top w:val="nil"/>
              <w:left w:val="nil"/>
              <w:bottom w:val="nil"/>
              <w:right w:val="nil"/>
            </w:tcBorders>
            <w:shd w:val="clear" w:color="auto" w:fill="FFFFFF"/>
            <w:tcMar>
              <w:top w:w="80" w:type="dxa"/>
              <w:left w:w="120" w:type="dxa"/>
              <w:bottom w:w="80" w:type="dxa"/>
              <w:right w:w="120" w:type="dxa"/>
            </w:tcMar>
          </w:tcPr>
          <w:p w14:paraId="169BC4BC">
            <w:pPr>
              <w:ind w:firstLine="0"/>
              <w:jc w:val="center"/>
            </w:pPr>
            <w:r>
              <w:rPr>
                <w:rFonts w:ascii="Times New Roman" w:hAnsi="Times New Roman" w:eastAsia="宋体"/>
                <w:b w:val="0"/>
                <w:bCs w:val="0"/>
                <w:color w:val="000000"/>
                <w:sz w:val="21"/>
                <w:szCs w:val="21"/>
              </w:rPr>
              <w:t>3</w:t>
            </w:r>
          </w:p>
        </w:tc>
      </w:tr>
      <w:tr w14:paraId="56410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2AB06CB3">
            <w:pPr>
              <w:ind w:firstLine="0"/>
              <w:jc w:val="center"/>
            </w:pPr>
            <w:r>
              <w:rPr>
                <w:rFonts w:ascii="Times New Roman" w:hAnsi="Times New Roman" w:eastAsia="宋体"/>
                <w:b w:val="0"/>
                <w:bCs w:val="0"/>
                <w:color w:val="000000"/>
                <w:sz w:val="21"/>
                <w:szCs w:val="21"/>
              </w:rPr>
              <w:t>螺旋上升</w:t>
            </w:r>
          </w:p>
        </w:tc>
        <w:tc>
          <w:tcPr>
            <w:tcW w:w="1511" w:type="dxa"/>
            <w:tcBorders>
              <w:top w:val="nil"/>
              <w:left w:val="nil"/>
              <w:bottom w:val="nil"/>
              <w:right w:val="nil"/>
            </w:tcBorders>
            <w:shd w:val="clear" w:color="auto" w:fill="FFFFFF"/>
            <w:tcMar>
              <w:top w:w="80" w:type="dxa"/>
              <w:left w:w="120" w:type="dxa"/>
              <w:bottom w:w="80" w:type="dxa"/>
              <w:right w:w="120" w:type="dxa"/>
            </w:tcMar>
          </w:tcPr>
          <w:p w14:paraId="03EEFEAE">
            <w:pPr>
              <w:ind w:firstLine="0"/>
              <w:jc w:val="center"/>
            </w:pPr>
            <w:r>
              <w:rPr>
                <w:rFonts w:ascii="Times New Roman" w:hAnsi="Times New Roman" w:eastAsia="宋体"/>
                <w:b w:val="0"/>
                <w:bCs w:val="0"/>
                <w:color w:val="000000"/>
                <w:sz w:val="21"/>
                <w:szCs w:val="21"/>
              </w:rPr>
              <w:t>基准线</w:t>
            </w:r>
          </w:p>
        </w:tc>
        <w:tc>
          <w:tcPr>
            <w:tcW w:w="1511" w:type="dxa"/>
            <w:tcBorders>
              <w:top w:val="nil"/>
              <w:left w:val="nil"/>
              <w:bottom w:val="nil"/>
              <w:right w:val="nil"/>
            </w:tcBorders>
            <w:shd w:val="clear" w:color="auto" w:fill="FFFFFF"/>
            <w:tcMar>
              <w:top w:w="80" w:type="dxa"/>
              <w:left w:w="120" w:type="dxa"/>
              <w:bottom w:w="80" w:type="dxa"/>
              <w:right w:w="120" w:type="dxa"/>
            </w:tcMar>
          </w:tcPr>
          <w:p w14:paraId="2C387559">
            <w:pPr>
              <w:ind w:firstLine="0"/>
              <w:jc w:val="center"/>
            </w:pPr>
            <w:r>
              <w:rPr>
                <w:rFonts w:ascii="Times New Roman" w:hAnsi="Times New Roman" w:eastAsia="宋体"/>
                <w:b w:val="0"/>
                <w:bCs w:val="0"/>
                <w:color w:val="000000"/>
                <w:sz w:val="21"/>
                <w:szCs w:val="21"/>
              </w:rPr>
              <w:t>0.487183</w:t>
            </w:r>
          </w:p>
        </w:tc>
        <w:tc>
          <w:tcPr>
            <w:tcW w:w="1511" w:type="dxa"/>
            <w:tcBorders>
              <w:top w:val="nil"/>
              <w:left w:val="nil"/>
              <w:bottom w:val="nil"/>
              <w:right w:val="nil"/>
            </w:tcBorders>
            <w:shd w:val="clear" w:color="auto" w:fill="FFFFFF"/>
            <w:tcMar>
              <w:top w:w="80" w:type="dxa"/>
              <w:left w:w="120" w:type="dxa"/>
              <w:bottom w:w="80" w:type="dxa"/>
              <w:right w:w="120" w:type="dxa"/>
            </w:tcMar>
          </w:tcPr>
          <w:p w14:paraId="0714EEC5">
            <w:pPr>
              <w:ind w:firstLine="0"/>
              <w:jc w:val="center"/>
            </w:pPr>
            <w:r>
              <w:rPr>
                <w:rFonts w:ascii="Times New Roman" w:hAnsi="Times New Roman" w:eastAsia="宋体"/>
                <w:b w:val="0"/>
                <w:bCs w:val="0"/>
                <w:color w:val="000000"/>
                <w:sz w:val="21"/>
                <w:szCs w:val="21"/>
              </w:rPr>
              <w:t>0.302127</w:t>
            </w:r>
          </w:p>
        </w:tc>
        <w:tc>
          <w:tcPr>
            <w:tcW w:w="1511" w:type="dxa"/>
            <w:tcBorders>
              <w:top w:val="nil"/>
              <w:left w:val="nil"/>
              <w:bottom w:val="nil"/>
              <w:right w:val="nil"/>
            </w:tcBorders>
            <w:shd w:val="clear" w:color="auto" w:fill="FFFFFF"/>
            <w:tcMar>
              <w:top w:w="80" w:type="dxa"/>
              <w:left w:w="120" w:type="dxa"/>
              <w:bottom w:w="80" w:type="dxa"/>
              <w:right w:w="120" w:type="dxa"/>
            </w:tcMar>
          </w:tcPr>
          <w:p w14:paraId="4A6F8B5E">
            <w:pPr>
              <w:ind w:firstLine="0"/>
              <w:jc w:val="center"/>
            </w:pPr>
            <w:r>
              <w:rPr>
                <w:rFonts w:ascii="Times New Roman" w:hAnsi="Times New Roman" w:eastAsia="宋体"/>
                <w:b w:val="0"/>
                <w:bCs w:val="0"/>
                <w:color w:val="000000"/>
                <w:sz w:val="21"/>
                <w:szCs w:val="21"/>
              </w:rPr>
              <w:t>3.005422</w:t>
            </w:r>
          </w:p>
        </w:tc>
        <w:tc>
          <w:tcPr>
            <w:tcW w:w="1515" w:type="dxa"/>
            <w:tcBorders>
              <w:top w:val="nil"/>
              <w:left w:val="nil"/>
              <w:bottom w:val="nil"/>
              <w:right w:val="nil"/>
            </w:tcBorders>
            <w:shd w:val="clear" w:color="auto" w:fill="FFFFFF"/>
            <w:tcMar>
              <w:top w:w="80" w:type="dxa"/>
              <w:left w:w="120" w:type="dxa"/>
              <w:bottom w:w="80" w:type="dxa"/>
              <w:right w:w="120" w:type="dxa"/>
            </w:tcMar>
          </w:tcPr>
          <w:p w14:paraId="08F6B62C">
            <w:pPr>
              <w:ind w:firstLine="0"/>
              <w:jc w:val="center"/>
            </w:pPr>
            <w:r>
              <w:rPr>
                <w:rFonts w:ascii="Times New Roman" w:hAnsi="Times New Roman" w:eastAsia="宋体"/>
                <w:b w:val="0"/>
                <w:bCs w:val="0"/>
                <w:color w:val="000000"/>
                <w:sz w:val="21"/>
                <w:szCs w:val="21"/>
              </w:rPr>
              <w:t>1</w:t>
            </w:r>
          </w:p>
        </w:tc>
      </w:tr>
      <w:tr w14:paraId="4F55C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01474EC4">
            <w:pPr>
              <w:ind w:firstLine="0"/>
              <w:jc w:val="center"/>
            </w:pPr>
            <w:r>
              <w:rPr>
                <w:rFonts w:ascii="Times New Roman" w:hAnsi="Times New Roman" w:eastAsia="宋体"/>
                <w:b w:val="0"/>
                <w:bCs w:val="0"/>
                <w:color w:val="000000"/>
                <w:sz w:val="21"/>
                <w:szCs w:val="21"/>
              </w:rPr>
              <w:t>螺旋上升</w:t>
            </w:r>
          </w:p>
        </w:tc>
        <w:tc>
          <w:tcPr>
            <w:tcW w:w="1511" w:type="dxa"/>
            <w:tcBorders>
              <w:top w:val="nil"/>
              <w:left w:val="nil"/>
              <w:bottom w:val="nil"/>
              <w:right w:val="nil"/>
            </w:tcBorders>
            <w:shd w:val="clear" w:color="auto" w:fill="FFFFFF"/>
            <w:tcMar>
              <w:top w:w="80" w:type="dxa"/>
              <w:left w:w="120" w:type="dxa"/>
              <w:bottom w:w="80" w:type="dxa"/>
              <w:right w:w="120" w:type="dxa"/>
            </w:tcMar>
          </w:tcPr>
          <w:p w14:paraId="38B027EA">
            <w:pPr>
              <w:ind w:firstLine="0"/>
              <w:jc w:val="center"/>
            </w:pPr>
            <w:r>
              <w:rPr>
                <w:rFonts w:ascii="Times New Roman" w:hAnsi="Times New Roman" w:eastAsia="宋体"/>
                <w:b w:val="0"/>
                <w:bCs w:val="0"/>
                <w:color w:val="000000"/>
                <w:sz w:val="21"/>
                <w:szCs w:val="21"/>
              </w:rPr>
              <w:t>增强</w:t>
            </w:r>
          </w:p>
        </w:tc>
        <w:tc>
          <w:tcPr>
            <w:tcW w:w="1511" w:type="dxa"/>
            <w:tcBorders>
              <w:top w:val="nil"/>
              <w:left w:val="nil"/>
              <w:bottom w:val="nil"/>
              <w:right w:val="nil"/>
            </w:tcBorders>
            <w:shd w:val="clear" w:color="auto" w:fill="FFFFFF"/>
            <w:tcMar>
              <w:top w:w="80" w:type="dxa"/>
              <w:left w:w="120" w:type="dxa"/>
              <w:bottom w:w="80" w:type="dxa"/>
              <w:right w:w="120" w:type="dxa"/>
            </w:tcMar>
          </w:tcPr>
          <w:p w14:paraId="75065EFA">
            <w:pPr>
              <w:ind w:firstLine="0"/>
              <w:jc w:val="center"/>
            </w:pPr>
            <w:r>
              <w:rPr>
                <w:rFonts w:ascii="Times New Roman" w:hAnsi="Times New Roman" w:eastAsia="宋体"/>
                <w:b w:val="0"/>
                <w:bCs w:val="0"/>
                <w:color w:val="000000"/>
                <w:sz w:val="21"/>
                <w:szCs w:val="21"/>
              </w:rPr>
              <w:t>0.474398</w:t>
            </w:r>
          </w:p>
        </w:tc>
        <w:tc>
          <w:tcPr>
            <w:tcW w:w="1511" w:type="dxa"/>
            <w:tcBorders>
              <w:top w:val="nil"/>
              <w:left w:val="nil"/>
              <w:bottom w:val="nil"/>
              <w:right w:val="nil"/>
            </w:tcBorders>
            <w:shd w:val="clear" w:color="auto" w:fill="FFFFFF"/>
            <w:tcMar>
              <w:top w:w="80" w:type="dxa"/>
              <w:left w:w="120" w:type="dxa"/>
              <w:bottom w:w="80" w:type="dxa"/>
              <w:right w:w="120" w:type="dxa"/>
            </w:tcMar>
          </w:tcPr>
          <w:p w14:paraId="746BBC2B">
            <w:pPr>
              <w:ind w:firstLine="0"/>
              <w:jc w:val="center"/>
            </w:pPr>
            <w:r>
              <w:rPr>
                <w:rFonts w:ascii="Times New Roman" w:hAnsi="Times New Roman" w:eastAsia="宋体"/>
                <w:b w:val="0"/>
                <w:bCs w:val="0"/>
                <w:color w:val="000000"/>
                <w:sz w:val="21"/>
                <w:szCs w:val="21"/>
              </w:rPr>
              <w:t>0.244043</w:t>
            </w:r>
          </w:p>
        </w:tc>
        <w:tc>
          <w:tcPr>
            <w:tcW w:w="1511" w:type="dxa"/>
            <w:tcBorders>
              <w:top w:val="nil"/>
              <w:left w:val="nil"/>
              <w:bottom w:val="nil"/>
              <w:right w:val="nil"/>
            </w:tcBorders>
            <w:shd w:val="clear" w:color="auto" w:fill="FFFFFF"/>
            <w:tcMar>
              <w:top w:w="80" w:type="dxa"/>
              <w:left w:w="120" w:type="dxa"/>
              <w:bottom w:w="80" w:type="dxa"/>
              <w:right w:w="120" w:type="dxa"/>
            </w:tcMar>
          </w:tcPr>
          <w:p w14:paraId="6D416E50">
            <w:pPr>
              <w:ind w:firstLine="0"/>
              <w:jc w:val="center"/>
            </w:pPr>
            <w:r>
              <w:rPr>
                <w:rFonts w:ascii="Times New Roman" w:hAnsi="Times New Roman" w:eastAsia="宋体"/>
                <w:b w:val="0"/>
                <w:bCs w:val="0"/>
                <w:color w:val="000000"/>
                <w:sz w:val="21"/>
                <w:szCs w:val="21"/>
              </w:rPr>
              <w:t>3.004100</w:t>
            </w:r>
          </w:p>
        </w:tc>
        <w:tc>
          <w:tcPr>
            <w:tcW w:w="1515" w:type="dxa"/>
            <w:tcBorders>
              <w:top w:val="nil"/>
              <w:left w:val="nil"/>
              <w:bottom w:val="nil"/>
              <w:right w:val="nil"/>
            </w:tcBorders>
            <w:shd w:val="clear" w:color="auto" w:fill="FFFFFF"/>
            <w:tcMar>
              <w:top w:w="80" w:type="dxa"/>
              <w:left w:w="120" w:type="dxa"/>
              <w:bottom w:w="80" w:type="dxa"/>
              <w:right w:w="120" w:type="dxa"/>
            </w:tcMar>
          </w:tcPr>
          <w:p w14:paraId="46EE7FC5">
            <w:pPr>
              <w:ind w:firstLine="0"/>
              <w:jc w:val="center"/>
            </w:pPr>
            <w:r>
              <w:rPr>
                <w:rFonts w:ascii="Times New Roman" w:hAnsi="Times New Roman" w:eastAsia="宋体"/>
                <w:b w:val="0"/>
                <w:bCs w:val="0"/>
                <w:color w:val="000000"/>
                <w:sz w:val="21"/>
                <w:szCs w:val="21"/>
              </w:rPr>
              <w:t>2</w:t>
            </w:r>
          </w:p>
        </w:tc>
      </w:tr>
      <w:tr w14:paraId="25809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0A5F7925">
            <w:pPr>
              <w:ind w:firstLine="0"/>
              <w:jc w:val="center"/>
            </w:pPr>
            <w:r>
              <w:rPr>
                <w:rFonts w:ascii="Times New Roman" w:hAnsi="Times New Roman" w:eastAsia="宋体"/>
                <w:b w:val="0"/>
                <w:bCs w:val="0"/>
                <w:color w:val="000000"/>
                <w:sz w:val="21"/>
                <w:szCs w:val="21"/>
              </w:rPr>
              <w:t>8字形</w:t>
            </w:r>
          </w:p>
        </w:tc>
        <w:tc>
          <w:tcPr>
            <w:tcW w:w="1511" w:type="dxa"/>
            <w:tcBorders>
              <w:top w:val="nil"/>
              <w:left w:val="nil"/>
              <w:bottom w:val="nil"/>
              <w:right w:val="nil"/>
            </w:tcBorders>
            <w:shd w:val="clear" w:color="auto" w:fill="FFFFFF"/>
            <w:tcMar>
              <w:top w:w="80" w:type="dxa"/>
              <w:left w:w="120" w:type="dxa"/>
              <w:bottom w:w="80" w:type="dxa"/>
              <w:right w:w="120" w:type="dxa"/>
            </w:tcMar>
          </w:tcPr>
          <w:p w14:paraId="7191BD78">
            <w:pPr>
              <w:ind w:firstLine="0"/>
              <w:jc w:val="center"/>
            </w:pPr>
            <w:r>
              <w:rPr>
                <w:rFonts w:ascii="Times New Roman" w:hAnsi="Times New Roman" w:eastAsia="宋体"/>
                <w:b w:val="0"/>
                <w:bCs w:val="0"/>
                <w:color w:val="000000"/>
                <w:sz w:val="21"/>
                <w:szCs w:val="21"/>
              </w:rPr>
              <w:t>基线</w:t>
            </w:r>
          </w:p>
        </w:tc>
        <w:tc>
          <w:tcPr>
            <w:tcW w:w="1511" w:type="dxa"/>
            <w:tcBorders>
              <w:top w:val="nil"/>
              <w:left w:val="nil"/>
              <w:bottom w:val="nil"/>
              <w:right w:val="nil"/>
            </w:tcBorders>
            <w:shd w:val="clear" w:color="auto" w:fill="FFFFFF"/>
            <w:tcMar>
              <w:top w:w="80" w:type="dxa"/>
              <w:left w:w="120" w:type="dxa"/>
              <w:bottom w:w="80" w:type="dxa"/>
              <w:right w:w="120" w:type="dxa"/>
            </w:tcMar>
          </w:tcPr>
          <w:p w14:paraId="322CC03D">
            <w:pPr>
              <w:ind w:firstLine="0"/>
              <w:jc w:val="center"/>
            </w:pPr>
            <w:r>
              <w:rPr>
                <w:rFonts w:ascii="Times New Roman" w:hAnsi="Times New Roman" w:eastAsia="宋体"/>
                <w:b w:val="0"/>
                <w:bCs w:val="0"/>
                <w:color w:val="000000"/>
                <w:sz w:val="21"/>
                <w:szCs w:val="21"/>
              </w:rPr>
              <w:t>0.172311</w:t>
            </w:r>
          </w:p>
        </w:tc>
        <w:tc>
          <w:tcPr>
            <w:tcW w:w="1511" w:type="dxa"/>
            <w:tcBorders>
              <w:top w:val="nil"/>
              <w:left w:val="nil"/>
              <w:bottom w:val="nil"/>
              <w:right w:val="nil"/>
            </w:tcBorders>
            <w:shd w:val="clear" w:color="auto" w:fill="FFFFFF"/>
            <w:tcMar>
              <w:top w:w="80" w:type="dxa"/>
              <w:left w:w="120" w:type="dxa"/>
              <w:bottom w:w="80" w:type="dxa"/>
              <w:right w:w="120" w:type="dxa"/>
            </w:tcMar>
          </w:tcPr>
          <w:p w14:paraId="10983EDC">
            <w:pPr>
              <w:ind w:firstLine="0"/>
              <w:jc w:val="center"/>
            </w:pPr>
            <w:r>
              <w:rPr>
                <w:rFonts w:ascii="Times New Roman" w:hAnsi="Times New Roman" w:eastAsia="宋体"/>
                <w:b w:val="0"/>
                <w:bCs w:val="0"/>
                <w:color w:val="000000"/>
                <w:sz w:val="21"/>
                <w:szCs w:val="21"/>
              </w:rPr>
              <w:t>0.097548</w:t>
            </w:r>
          </w:p>
        </w:tc>
        <w:tc>
          <w:tcPr>
            <w:tcW w:w="1511" w:type="dxa"/>
            <w:tcBorders>
              <w:top w:val="nil"/>
              <w:left w:val="nil"/>
              <w:bottom w:val="nil"/>
              <w:right w:val="nil"/>
            </w:tcBorders>
            <w:shd w:val="clear" w:color="auto" w:fill="FFFFFF"/>
            <w:tcMar>
              <w:top w:w="80" w:type="dxa"/>
              <w:left w:w="120" w:type="dxa"/>
              <w:bottom w:w="80" w:type="dxa"/>
              <w:right w:w="120" w:type="dxa"/>
            </w:tcMar>
          </w:tcPr>
          <w:p w14:paraId="5F2E7138">
            <w:pPr>
              <w:ind w:firstLine="0"/>
              <w:jc w:val="center"/>
            </w:pPr>
            <w:r>
              <w:rPr>
                <w:rFonts w:ascii="Times New Roman" w:hAnsi="Times New Roman" w:eastAsia="宋体"/>
                <w:b w:val="0"/>
                <w:bCs w:val="0"/>
                <w:color w:val="000000"/>
                <w:sz w:val="21"/>
                <w:szCs w:val="21"/>
              </w:rPr>
              <w:t>1.217033</w:t>
            </w:r>
          </w:p>
        </w:tc>
        <w:tc>
          <w:tcPr>
            <w:tcW w:w="1515" w:type="dxa"/>
            <w:tcBorders>
              <w:top w:val="nil"/>
              <w:left w:val="nil"/>
              <w:bottom w:val="nil"/>
              <w:right w:val="nil"/>
            </w:tcBorders>
            <w:shd w:val="clear" w:color="auto" w:fill="FFFFFF"/>
            <w:tcMar>
              <w:top w:w="80" w:type="dxa"/>
              <w:left w:w="120" w:type="dxa"/>
              <w:bottom w:w="80" w:type="dxa"/>
              <w:right w:w="120" w:type="dxa"/>
            </w:tcMar>
          </w:tcPr>
          <w:p w14:paraId="017D9FC8">
            <w:pPr>
              <w:ind w:firstLine="0"/>
              <w:jc w:val="center"/>
            </w:pPr>
            <w:r>
              <w:rPr>
                <w:rFonts w:ascii="Times New Roman" w:hAnsi="Times New Roman" w:eastAsia="宋体"/>
                <w:b w:val="0"/>
                <w:bCs w:val="0"/>
                <w:color w:val="000000"/>
                <w:sz w:val="21"/>
                <w:szCs w:val="21"/>
              </w:rPr>
              <w:t>0</w:t>
            </w:r>
          </w:p>
        </w:tc>
      </w:tr>
      <w:tr w14:paraId="25CFD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single" w:color="000000" w:sz="12" w:space="0"/>
              <w:right w:val="nil"/>
            </w:tcBorders>
            <w:shd w:val="clear" w:color="auto" w:fill="FFFFFF"/>
            <w:tcMar>
              <w:top w:w="80" w:type="dxa"/>
              <w:left w:w="120" w:type="dxa"/>
              <w:bottom w:w="80" w:type="dxa"/>
              <w:right w:w="120" w:type="dxa"/>
            </w:tcMar>
          </w:tcPr>
          <w:p w14:paraId="2B04E919">
            <w:pPr>
              <w:ind w:firstLine="0"/>
              <w:jc w:val="center"/>
            </w:pPr>
            <w:r>
              <w:rPr>
                <w:rFonts w:ascii="Times New Roman" w:hAnsi="Times New Roman" w:eastAsia="宋体"/>
                <w:b w:val="0"/>
                <w:bCs w:val="0"/>
                <w:color w:val="000000"/>
                <w:sz w:val="21"/>
                <w:szCs w:val="21"/>
              </w:rPr>
              <w:t>8字形</w:t>
            </w:r>
          </w:p>
        </w:tc>
        <w:tc>
          <w:tcPr>
            <w:tcW w:w="1511" w:type="dxa"/>
            <w:tcBorders>
              <w:top w:val="nil"/>
              <w:left w:val="nil"/>
              <w:bottom w:val="single" w:color="000000" w:sz="12" w:space="0"/>
              <w:right w:val="nil"/>
            </w:tcBorders>
            <w:shd w:val="clear" w:color="auto" w:fill="FFFFFF"/>
            <w:tcMar>
              <w:top w:w="80" w:type="dxa"/>
              <w:left w:w="120" w:type="dxa"/>
              <w:bottom w:w="80" w:type="dxa"/>
              <w:right w:w="120" w:type="dxa"/>
            </w:tcMar>
          </w:tcPr>
          <w:p w14:paraId="6DEB4CE0">
            <w:pPr>
              <w:ind w:firstLine="0"/>
              <w:jc w:val="center"/>
            </w:pPr>
            <w:r>
              <w:rPr>
                <w:rFonts w:ascii="Times New Roman" w:hAnsi="Times New Roman" w:eastAsia="宋体"/>
                <w:b w:val="0"/>
                <w:bCs w:val="0"/>
                <w:color w:val="000000"/>
                <w:sz w:val="21"/>
                <w:szCs w:val="21"/>
              </w:rPr>
              <w:t>增强型</w:t>
            </w:r>
          </w:p>
        </w:tc>
        <w:tc>
          <w:tcPr>
            <w:tcW w:w="1511" w:type="dxa"/>
            <w:tcBorders>
              <w:top w:val="nil"/>
              <w:left w:val="nil"/>
              <w:bottom w:val="single" w:color="000000" w:sz="12" w:space="0"/>
              <w:right w:val="nil"/>
            </w:tcBorders>
            <w:shd w:val="clear" w:color="auto" w:fill="FFFFFF"/>
            <w:tcMar>
              <w:top w:w="80" w:type="dxa"/>
              <w:left w:w="120" w:type="dxa"/>
              <w:bottom w:w="80" w:type="dxa"/>
              <w:right w:w="120" w:type="dxa"/>
            </w:tcMar>
          </w:tcPr>
          <w:p w14:paraId="79B3C4EA">
            <w:pPr>
              <w:ind w:firstLine="0"/>
              <w:jc w:val="center"/>
            </w:pPr>
            <w:r>
              <w:rPr>
                <w:rFonts w:ascii="Times New Roman" w:hAnsi="Times New Roman" w:eastAsia="宋体"/>
                <w:b w:val="0"/>
                <w:bCs w:val="0"/>
                <w:color w:val="000000"/>
                <w:sz w:val="21"/>
                <w:szCs w:val="21"/>
              </w:rPr>
              <w:t>0.149095</w:t>
            </w:r>
          </w:p>
        </w:tc>
        <w:tc>
          <w:tcPr>
            <w:tcW w:w="1511" w:type="dxa"/>
            <w:tcBorders>
              <w:top w:val="nil"/>
              <w:left w:val="nil"/>
              <w:bottom w:val="single" w:color="000000" w:sz="12" w:space="0"/>
              <w:right w:val="nil"/>
            </w:tcBorders>
            <w:shd w:val="clear" w:color="auto" w:fill="FFFFFF"/>
            <w:tcMar>
              <w:top w:w="80" w:type="dxa"/>
              <w:left w:w="120" w:type="dxa"/>
              <w:bottom w:w="80" w:type="dxa"/>
              <w:right w:w="120" w:type="dxa"/>
            </w:tcMar>
          </w:tcPr>
          <w:p w14:paraId="65A3BC50">
            <w:pPr>
              <w:ind w:firstLine="0"/>
              <w:jc w:val="center"/>
            </w:pPr>
            <w:r>
              <w:rPr>
                <w:rFonts w:ascii="Times New Roman" w:hAnsi="Times New Roman" w:eastAsia="宋体"/>
                <w:b w:val="0"/>
                <w:bCs w:val="0"/>
                <w:color w:val="000000"/>
                <w:sz w:val="21"/>
                <w:szCs w:val="21"/>
              </w:rPr>
              <w:t>0.072253</w:t>
            </w:r>
          </w:p>
        </w:tc>
        <w:tc>
          <w:tcPr>
            <w:tcW w:w="1511" w:type="dxa"/>
            <w:tcBorders>
              <w:top w:val="nil"/>
              <w:left w:val="nil"/>
              <w:bottom w:val="single" w:color="000000" w:sz="12" w:space="0"/>
              <w:right w:val="nil"/>
            </w:tcBorders>
            <w:shd w:val="clear" w:color="auto" w:fill="FFFFFF"/>
            <w:tcMar>
              <w:top w:w="80" w:type="dxa"/>
              <w:left w:w="120" w:type="dxa"/>
              <w:bottom w:w="80" w:type="dxa"/>
              <w:right w:w="120" w:type="dxa"/>
            </w:tcMar>
          </w:tcPr>
          <w:p w14:paraId="04263C47">
            <w:pPr>
              <w:ind w:firstLine="0"/>
              <w:jc w:val="center"/>
            </w:pPr>
            <w:r>
              <w:rPr>
                <w:rFonts w:ascii="Times New Roman" w:hAnsi="Times New Roman" w:eastAsia="宋体"/>
                <w:b w:val="0"/>
                <w:bCs w:val="0"/>
                <w:color w:val="000000"/>
                <w:sz w:val="21"/>
                <w:szCs w:val="21"/>
              </w:rPr>
              <w:t>1.060110</w:t>
            </w:r>
          </w:p>
        </w:tc>
        <w:tc>
          <w:tcPr>
            <w:tcW w:w="1515" w:type="dxa"/>
            <w:tcBorders>
              <w:top w:val="nil"/>
              <w:left w:val="nil"/>
              <w:bottom w:val="single" w:color="000000" w:sz="12" w:space="0"/>
              <w:right w:val="nil"/>
            </w:tcBorders>
            <w:shd w:val="clear" w:color="auto" w:fill="FFFFFF"/>
            <w:tcMar>
              <w:top w:w="80" w:type="dxa"/>
              <w:left w:w="120" w:type="dxa"/>
              <w:bottom w:w="80" w:type="dxa"/>
              <w:right w:w="120" w:type="dxa"/>
            </w:tcMar>
          </w:tcPr>
          <w:p w14:paraId="010E23E5">
            <w:pPr>
              <w:ind w:firstLine="0"/>
              <w:jc w:val="center"/>
            </w:pPr>
            <w:r>
              <w:rPr>
                <w:rFonts w:ascii="Times New Roman" w:hAnsi="Times New Roman" w:eastAsia="宋体"/>
                <w:b w:val="0"/>
                <w:bCs w:val="0"/>
                <w:color w:val="000000"/>
                <w:sz w:val="21"/>
                <w:szCs w:val="21"/>
              </w:rPr>
              <w:t>0</w:t>
            </w:r>
          </w:p>
        </w:tc>
      </w:tr>
    </w:tbl>
    <w:p w14:paraId="4E1DB4BD">
      <w:pPr>
        <w:spacing w:line="360" w:lineRule="auto"/>
        <w:ind w:firstLine="480"/>
        <w:rPr>
          <w:color w:val="000000"/>
        </w:rPr>
      </w:pPr>
    </w:p>
    <w:p w14:paraId="2444B8B1">
      <w:pPr>
        <w:spacing w:line="360" w:lineRule="auto"/>
        <w:ind w:firstLine="480"/>
      </w:pPr>
      <w:r>
        <w:rPr>
          <w:color w:val="000000"/>
        </w:rPr>
        <w:t>所有数据均直接来自 MWORKS Sysplorer 2026a 实时仿真，采样间隔为 0.01 s。</w:t>
      </w:r>
    </w:p>
    <w:p w14:paraId="602790A5">
      <w:pPr>
        <w:spacing w:line="360" w:lineRule="auto"/>
        <w:ind w:firstLine="480"/>
      </w:pPr>
      <w:r>
        <w:rPr>
          <w:color w:val="000000"/>
        </w:rPr>
        <w:t>均方根误差（RMSE）的改善梯度符合物理直觉：爬升场景（17.16%）受益最大，因为它涉及单维控制，充分利用了滑模控制的鲁棒性；“8”字形（13.47%）涉及复杂但相对独立的轴运动；螺旋爬升（2.62%）则受高度与圆周之间强耦合的影响，限制了仅横向运动的改善。 平均误差改善率（25.10%/19.22%/25.93%）始终高于均方根误差（RMSE）改善率，这证实了复合滑模控制器在抑制中低频跟踪误差方面特别有效。</w:t>
      </w:r>
    </w:p>
    <w:tbl>
      <w:tblPr>
        <w:tblStyle w:val="11"/>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23"/>
        <w:gridCol w:w="3023"/>
        <w:gridCol w:w="3024"/>
      </w:tblGrid>
      <w:tr w14:paraId="15BA7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23"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51D985D8">
            <w:pPr>
              <w:ind w:firstLine="0"/>
              <w:jc w:val="center"/>
            </w:pPr>
            <w:r>
              <w:rPr>
                <w:rFonts w:ascii="Times New Roman" w:hAnsi="Times New Roman" w:eastAsia="宋体"/>
                <w:b/>
                <w:bCs/>
                <w:color w:val="000000"/>
                <w:sz w:val="21"/>
                <w:szCs w:val="21"/>
              </w:rPr>
              <w:t>场景</w:t>
            </w:r>
          </w:p>
        </w:tc>
        <w:tc>
          <w:tcPr>
            <w:tcW w:w="3023"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1F095FE4">
            <w:pPr>
              <w:ind w:firstLine="0"/>
              <w:jc w:val="center"/>
            </w:pPr>
            <w:r>
              <w:rPr>
                <w:rFonts w:ascii="Times New Roman" w:hAnsi="Times New Roman" w:eastAsia="宋体"/>
                <w:b/>
                <w:bCs/>
                <w:color w:val="000000"/>
                <w:sz w:val="21"/>
                <w:szCs w:val="21"/>
              </w:rPr>
              <w:t>均方根误差（RMSE）改善率</w:t>
            </w:r>
          </w:p>
        </w:tc>
        <w:tc>
          <w:tcPr>
            <w:tcW w:w="3024"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3F1725D5">
            <w:pPr>
              <w:ind w:firstLine="0"/>
              <w:jc w:val="center"/>
            </w:pPr>
            <w:r>
              <w:rPr>
                <w:rFonts w:ascii="Times New Roman" w:hAnsi="Times New Roman" w:eastAsia="宋体"/>
                <w:b/>
                <w:bCs/>
                <w:color w:val="000000"/>
                <w:sz w:val="21"/>
                <w:szCs w:val="21"/>
              </w:rPr>
              <w:t>平均误差改善率</w:t>
            </w:r>
          </w:p>
        </w:tc>
      </w:tr>
      <w:tr w14:paraId="6A7CD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3B9A72CE">
            <w:pPr>
              <w:ind w:firstLine="0"/>
              <w:jc w:val="center"/>
            </w:pPr>
            <w:r>
              <w:rPr>
                <w:rFonts w:ascii="Times New Roman" w:hAnsi="Times New Roman" w:eastAsia="宋体"/>
                <w:b w:val="0"/>
                <w:bCs w:val="0"/>
                <w:color w:val="000000"/>
                <w:sz w:val="21"/>
                <w:szCs w:val="21"/>
              </w:rPr>
              <w:t>爬升</w:t>
            </w:r>
          </w:p>
        </w:tc>
        <w:tc>
          <w:tcPr>
            <w:tcW w:w="3023" w:type="dxa"/>
            <w:tcBorders>
              <w:top w:val="nil"/>
              <w:left w:val="nil"/>
              <w:bottom w:val="nil"/>
              <w:right w:val="nil"/>
            </w:tcBorders>
            <w:shd w:val="clear" w:color="auto" w:fill="FFFFFF"/>
            <w:tcMar>
              <w:top w:w="80" w:type="dxa"/>
              <w:left w:w="120" w:type="dxa"/>
              <w:bottom w:w="80" w:type="dxa"/>
              <w:right w:w="120" w:type="dxa"/>
            </w:tcMar>
          </w:tcPr>
          <w:p w14:paraId="30D39E29">
            <w:pPr>
              <w:ind w:firstLine="0"/>
              <w:jc w:val="center"/>
            </w:pPr>
            <w:r>
              <w:rPr>
                <w:rFonts w:ascii="Times New Roman" w:hAnsi="Times New Roman" w:eastAsia="宋体"/>
                <w:b w:val="0"/>
                <w:bCs w:val="0"/>
                <w:color w:val="000000"/>
                <w:sz w:val="21"/>
                <w:szCs w:val="21"/>
              </w:rPr>
              <w:t>17.16%</w:t>
            </w:r>
          </w:p>
        </w:tc>
        <w:tc>
          <w:tcPr>
            <w:tcW w:w="3024" w:type="dxa"/>
            <w:tcBorders>
              <w:top w:val="nil"/>
              <w:left w:val="nil"/>
              <w:bottom w:val="nil"/>
              <w:right w:val="nil"/>
            </w:tcBorders>
            <w:shd w:val="clear" w:color="auto" w:fill="FFFFFF"/>
            <w:tcMar>
              <w:top w:w="80" w:type="dxa"/>
              <w:left w:w="120" w:type="dxa"/>
              <w:bottom w:w="80" w:type="dxa"/>
              <w:right w:w="120" w:type="dxa"/>
            </w:tcMar>
          </w:tcPr>
          <w:p w14:paraId="05931AE8">
            <w:pPr>
              <w:ind w:firstLine="0"/>
              <w:jc w:val="center"/>
            </w:pPr>
            <w:r>
              <w:rPr>
                <w:rFonts w:ascii="Times New Roman" w:hAnsi="Times New Roman" w:eastAsia="宋体"/>
                <w:b w:val="0"/>
                <w:bCs w:val="0"/>
                <w:color w:val="000000"/>
                <w:sz w:val="21"/>
                <w:szCs w:val="21"/>
              </w:rPr>
              <w:t>25.10%</w:t>
            </w:r>
          </w:p>
        </w:tc>
      </w:tr>
      <w:tr w14:paraId="75E3F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26FF45A9">
            <w:pPr>
              <w:ind w:firstLine="0"/>
              <w:jc w:val="center"/>
            </w:pPr>
            <w:r>
              <w:rPr>
                <w:rFonts w:ascii="Times New Roman" w:hAnsi="Times New Roman" w:eastAsia="宋体"/>
                <w:b w:val="0"/>
                <w:bCs w:val="0"/>
                <w:color w:val="000000"/>
                <w:sz w:val="21"/>
                <w:szCs w:val="21"/>
              </w:rPr>
              <w:t>螺旋爬升</w:t>
            </w:r>
          </w:p>
        </w:tc>
        <w:tc>
          <w:tcPr>
            <w:tcW w:w="3023" w:type="dxa"/>
            <w:tcBorders>
              <w:top w:val="nil"/>
              <w:left w:val="nil"/>
              <w:bottom w:val="nil"/>
              <w:right w:val="nil"/>
            </w:tcBorders>
            <w:shd w:val="clear" w:color="auto" w:fill="FFFFFF"/>
            <w:tcMar>
              <w:top w:w="80" w:type="dxa"/>
              <w:left w:w="120" w:type="dxa"/>
              <w:bottom w:w="80" w:type="dxa"/>
              <w:right w:w="120" w:type="dxa"/>
            </w:tcMar>
          </w:tcPr>
          <w:p w14:paraId="45AC14D3">
            <w:pPr>
              <w:ind w:firstLine="0"/>
              <w:jc w:val="center"/>
            </w:pPr>
            <w:r>
              <w:rPr>
                <w:rFonts w:ascii="Times New Roman" w:hAnsi="Times New Roman" w:eastAsia="宋体"/>
                <w:b w:val="0"/>
                <w:bCs w:val="0"/>
                <w:color w:val="000000"/>
                <w:sz w:val="21"/>
                <w:szCs w:val="21"/>
              </w:rPr>
              <w:t>2.62%</w:t>
            </w:r>
          </w:p>
        </w:tc>
        <w:tc>
          <w:tcPr>
            <w:tcW w:w="3024" w:type="dxa"/>
            <w:tcBorders>
              <w:top w:val="nil"/>
              <w:left w:val="nil"/>
              <w:bottom w:val="nil"/>
              <w:right w:val="nil"/>
            </w:tcBorders>
            <w:shd w:val="clear" w:color="auto" w:fill="FFFFFF"/>
            <w:tcMar>
              <w:top w:w="80" w:type="dxa"/>
              <w:left w:w="120" w:type="dxa"/>
              <w:bottom w:w="80" w:type="dxa"/>
              <w:right w:w="120" w:type="dxa"/>
            </w:tcMar>
          </w:tcPr>
          <w:p w14:paraId="2F72F3DC">
            <w:pPr>
              <w:ind w:firstLine="0"/>
              <w:jc w:val="center"/>
            </w:pPr>
            <w:r>
              <w:rPr>
                <w:rFonts w:ascii="Times New Roman" w:hAnsi="Times New Roman" w:eastAsia="宋体"/>
                <w:b w:val="0"/>
                <w:bCs w:val="0"/>
                <w:color w:val="000000"/>
                <w:sz w:val="21"/>
                <w:szCs w:val="21"/>
              </w:rPr>
              <w:t>19.22%</w:t>
            </w:r>
          </w:p>
        </w:tc>
      </w:tr>
      <w:tr w14:paraId="26DBB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single" w:color="000000" w:sz="12" w:space="0"/>
              <w:right w:val="nil"/>
            </w:tcBorders>
            <w:shd w:val="clear" w:color="auto" w:fill="FFFFFF"/>
            <w:tcMar>
              <w:top w:w="80" w:type="dxa"/>
              <w:left w:w="120" w:type="dxa"/>
              <w:bottom w:w="80" w:type="dxa"/>
              <w:right w:w="120" w:type="dxa"/>
            </w:tcMar>
          </w:tcPr>
          <w:p w14:paraId="412967A5">
            <w:pPr>
              <w:ind w:firstLine="0"/>
              <w:jc w:val="center"/>
            </w:pPr>
            <w:r>
              <w:rPr>
                <w:rFonts w:ascii="Times New Roman" w:hAnsi="Times New Roman" w:eastAsia="宋体"/>
                <w:b w:val="0"/>
                <w:bCs w:val="0"/>
                <w:color w:val="000000"/>
                <w:sz w:val="21"/>
                <w:szCs w:val="21"/>
              </w:rPr>
              <w:t>8字形</w:t>
            </w:r>
          </w:p>
        </w:tc>
        <w:tc>
          <w:tcPr>
            <w:tcW w:w="3023" w:type="dxa"/>
            <w:tcBorders>
              <w:top w:val="nil"/>
              <w:left w:val="nil"/>
              <w:bottom w:val="single" w:color="000000" w:sz="12" w:space="0"/>
              <w:right w:val="nil"/>
            </w:tcBorders>
            <w:shd w:val="clear" w:color="auto" w:fill="FFFFFF"/>
            <w:tcMar>
              <w:top w:w="80" w:type="dxa"/>
              <w:left w:w="120" w:type="dxa"/>
              <w:bottom w:w="80" w:type="dxa"/>
              <w:right w:w="120" w:type="dxa"/>
            </w:tcMar>
          </w:tcPr>
          <w:p w14:paraId="366BE5C1">
            <w:pPr>
              <w:ind w:firstLine="0"/>
              <w:jc w:val="center"/>
            </w:pPr>
            <w:r>
              <w:rPr>
                <w:rFonts w:ascii="Times New Roman" w:hAnsi="Times New Roman" w:eastAsia="宋体"/>
                <w:b w:val="0"/>
                <w:bCs w:val="0"/>
                <w:color w:val="000000"/>
                <w:sz w:val="21"/>
                <w:szCs w:val="21"/>
              </w:rPr>
              <w:t>13.47%</w:t>
            </w:r>
          </w:p>
        </w:tc>
        <w:tc>
          <w:tcPr>
            <w:tcW w:w="3024" w:type="dxa"/>
            <w:tcBorders>
              <w:top w:val="nil"/>
              <w:left w:val="nil"/>
              <w:bottom w:val="single" w:color="000000" w:sz="12" w:space="0"/>
              <w:right w:val="nil"/>
            </w:tcBorders>
            <w:shd w:val="clear" w:color="auto" w:fill="FFFFFF"/>
            <w:tcMar>
              <w:top w:w="80" w:type="dxa"/>
              <w:left w:w="120" w:type="dxa"/>
              <w:bottom w:w="80" w:type="dxa"/>
              <w:right w:w="120" w:type="dxa"/>
            </w:tcMar>
          </w:tcPr>
          <w:p w14:paraId="7778B85A">
            <w:pPr>
              <w:ind w:firstLine="0"/>
              <w:jc w:val="center"/>
            </w:pPr>
            <w:r>
              <w:rPr>
                <w:rFonts w:ascii="Times New Roman" w:hAnsi="Times New Roman" w:eastAsia="宋体"/>
                <w:b w:val="0"/>
                <w:bCs w:val="0"/>
                <w:color w:val="000000"/>
                <w:sz w:val="21"/>
                <w:szCs w:val="21"/>
              </w:rPr>
              <w:t>25.93%</w:t>
            </w:r>
          </w:p>
        </w:tc>
      </w:tr>
    </w:tbl>
    <w:p w14:paraId="6869B7AF">
      <w:pPr>
        <w:ind w:firstLine="0"/>
        <w:jc w:val="center"/>
      </w:pPr>
      <w:r>
        <w:drawing>
          <wp:inline distT="0" distB="0" distL="0" distR="0">
            <wp:extent cx="5486400" cy="3524250"/>
            <wp:effectExtent l="0" t="0" r="0" b="0"/>
            <wp:docPr id="4" name="user_fig_image4.png" descr="figures/user_fig_image4.png" title="user_fig_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er_fig_image4.png" descr="figures/user_fig_image4.png" title="user_fig_image4.png"/>
                    <pic:cNvPicPr>
                      <a:picLocks noChangeAspect="1" noChangeArrowheads="1"/>
                    </pic:cNvPicPr>
                  </pic:nvPicPr>
                  <pic:blipFill>
                    <a:blip r:embed="rId8"/>
                    <a:srcRect/>
                    <a:stretch>
                      <a:fillRect/>
                    </a:stretch>
                  </pic:blipFill>
                  <pic:spPr>
                    <a:xfrm>
                      <a:off x="0" y="0"/>
                      <a:ext cx="5486400" cy="3524250"/>
                    </a:xfrm>
                    <a:prstGeom prst="rect">
                      <a:avLst/>
                    </a:prstGeom>
                  </pic:spPr>
                </pic:pic>
              </a:graphicData>
            </a:graphic>
          </wp:inline>
        </w:drawing>
      </w:r>
    </w:p>
    <w:p w14:paraId="02DAC4DA">
      <w:pPr>
        <w:spacing w:before="60" w:after="120"/>
        <w:ind w:firstLine="0"/>
        <w:jc w:val="center"/>
      </w:pPr>
      <w:r>
        <w:rPr>
          <w:rFonts w:eastAsia="宋体"/>
          <w:b/>
          <w:bCs/>
          <w:color w:val="000000"/>
          <w:sz w:val="21"/>
          <w:szCs w:val="21"/>
        </w:rPr>
        <w:t>图4：比较三种场景下基线模型与增强模型路径均方根误差（RMSE，单位：米）的柱状图。爬升场景的差距最大（0.275253 对比 0.228024），“8”字飞行场景显示出中等程度的改进（0.172311 对比 0.149095），而螺旋爬升场景的差异较小（0.487183 对比 0.474398）。</w:t>
      </w:r>
    </w:p>
    <w:p w14:paraId="199BD79F">
      <w:pPr>
        <w:ind w:firstLine="0"/>
        <w:jc w:val="center"/>
      </w:pPr>
      <w:r>
        <w:drawing>
          <wp:inline distT="0" distB="0" distL="0" distR="0">
            <wp:extent cx="5486400" cy="3524250"/>
            <wp:effectExtent l="0" t="0" r="0" b="0"/>
            <wp:docPr id="5" name="user_fig_image5.png" descr="figures/user_fig_image5.png" title="user_fig_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ser_fig_image5.png" descr="figures/user_fig_image5.png" title="user_fig_image5.png"/>
                    <pic:cNvPicPr>
                      <a:picLocks noChangeAspect="1" noChangeArrowheads="1"/>
                    </pic:cNvPicPr>
                  </pic:nvPicPr>
                  <pic:blipFill>
                    <a:blip r:embed="rId9"/>
                    <a:srcRect/>
                    <a:stretch>
                      <a:fillRect/>
                    </a:stretch>
                  </pic:blipFill>
                  <pic:spPr>
                    <a:xfrm>
                      <a:off x="0" y="0"/>
                      <a:ext cx="5486400" cy="3524250"/>
                    </a:xfrm>
                    <a:prstGeom prst="rect">
                      <a:avLst/>
                    </a:prstGeom>
                  </pic:spPr>
                </pic:pic>
              </a:graphicData>
            </a:graphic>
          </wp:inline>
        </w:drawing>
      </w:r>
    </w:p>
    <w:p w14:paraId="5F8A2C1D">
      <w:pPr>
        <w:spacing w:before="60" w:after="120"/>
        <w:ind w:firstLine="0"/>
        <w:jc w:val="center"/>
      </w:pPr>
      <w:r>
        <w:rPr>
          <w:rFonts w:eastAsia="宋体"/>
          <w:b/>
          <w:bCs/>
          <w:color w:val="000000"/>
          <w:sz w:val="21"/>
          <w:szCs w:val="21"/>
        </w:rPr>
        <w:t>图5：各场景及模型变体下的最大姿态角（度），并叠加了15度的安全阈值（水平红色虚线）。增强型模型在爬升与螺旋爬升场景下的峰值越过该阈值（分别为 17.390° 与 16.558°），基线模型在螺旋爬升场景下亦有 1 个越限采样点；成因见仿真报告第 6 章。接入限速后六个模型的越限累计时长均归零。</w:t>
      </w:r>
    </w:p>
    <w:p w14:paraId="786D6981">
      <w:pPr>
        <w:pStyle w:val="4"/>
        <w:spacing w:before="120" w:after="60" w:line="360" w:lineRule="auto"/>
        <w:ind w:firstLine="0"/>
        <w:jc w:val="left"/>
        <w:rPr>
          <w:rFonts w:ascii="Times New Roman" w:hAnsi="Times New Roman" w:eastAsia="黑体"/>
          <w:b/>
          <w:bCs/>
          <w:color w:val="000000"/>
          <w:sz w:val="24"/>
          <w:szCs w:val="24"/>
        </w:rPr>
      </w:pPr>
    </w:p>
    <w:p w14:paraId="1E850816">
      <w:pPr>
        <w:pStyle w:val="4"/>
        <w:spacing w:before="120" w:after="60" w:line="360" w:lineRule="auto"/>
        <w:ind w:firstLine="0"/>
        <w:jc w:val="left"/>
      </w:pPr>
      <w:r>
        <w:rPr>
          <w:rFonts w:ascii="Times New Roman" w:hAnsi="Times New Roman" w:eastAsia="黑体"/>
          <w:b/>
          <w:bCs/>
          <w:color w:val="000000"/>
          <w:sz w:val="24"/>
          <w:szCs w:val="24"/>
        </w:rPr>
        <w:t>5.6 动态响应指标</w:t>
      </w:r>
    </w:p>
    <w:p w14:paraId="0A649EE5">
      <w:pPr>
        <w:spacing w:line="360" w:lineRule="auto"/>
        <w:ind w:firstLine="480"/>
      </w:pPr>
      <w:r>
        <w:rPr>
          <w:color w:val="000000"/>
        </w:rPr>
        <w:t>除轨迹跟踪指标外，还以爬升阶跃场景作为测试对象进行了动态响应测试，重点比较了过冲、稳态误差和建立时间等瞬态过程性能。</w:t>
      </w:r>
    </w:p>
    <w:tbl>
      <w:tblPr>
        <w:tblStyle w:val="11"/>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267"/>
        <w:gridCol w:w="2267"/>
        <w:gridCol w:w="2267"/>
        <w:gridCol w:w="2269"/>
      </w:tblGrid>
      <w:tr w14:paraId="69CDA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67"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2ADE0ECA">
            <w:pPr>
              <w:ind w:firstLine="0"/>
              <w:jc w:val="center"/>
            </w:pPr>
            <w:r>
              <w:rPr>
                <w:rFonts w:ascii="Times New Roman" w:hAnsi="Times New Roman" w:eastAsia="宋体"/>
                <w:b/>
                <w:bCs/>
                <w:color w:val="000000"/>
                <w:sz w:val="21"/>
                <w:szCs w:val="21"/>
              </w:rPr>
              <w:t>指标</w:t>
            </w:r>
          </w:p>
        </w:tc>
        <w:tc>
          <w:tcPr>
            <w:tcW w:w="2267"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464A4898">
            <w:pPr>
              <w:ind w:firstLine="0"/>
              <w:jc w:val="center"/>
            </w:pPr>
            <w:r>
              <w:rPr>
                <w:rFonts w:ascii="Times New Roman" w:hAnsi="Times New Roman" w:eastAsia="宋体"/>
                <w:b/>
                <w:bCs/>
                <w:color w:val="000000"/>
                <w:sz w:val="21"/>
                <w:szCs w:val="21"/>
              </w:rPr>
              <w:t>基准（实时）</w:t>
            </w:r>
          </w:p>
        </w:tc>
        <w:tc>
          <w:tcPr>
            <w:tcW w:w="2267"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2A81EF99">
            <w:pPr>
              <w:ind w:firstLine="0"/>
              <w:jc w:val="center"/>
            </w:pPr>
            <w:r>
              <w:rPr>
                <w:rFonts w:ascii="Times New Roman" w:hAnsi="Times New Roman" w:eastAsia="宋体"/>
                <w:b/>
                <w:bCs/>
                <w:color w:val="000000"/>
                <w:sz w:val="21"/>
                <w:szCs w:val="21"/>
              </w:rPr>
              <w:t>增强版（实时）</w:t>
            </w:r>
          </w:p>
        </w:tc>
        <w:tc>
          <w:tcPr>
            <w:tcW w:w="2269"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27278A27">
            <w:pPr>
              <w:ind w:firstLine="0"/>
              <w:jc w:val="center"/>
            </w:pPr>
            <w:r>
              <w:rPr>
                <w:rFonts w:ascii="Times New Roman" w:hAnsi="Times New Roman" w:eastAsia="宋体"/>
                <w:b/>
                <w:bCs/>
                <w:color w:val="000000"/>
                <w:sz w:val="21"/>
                <w:szCs w:val="21"/>
              </w:rPr>
              <w:t>安全链接入后</w:t>
            </w:r>
          </w:p>
        </w:tc>
      </w:tr>
      <w:tr w14:paraId="04610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67" w:type="dxa"/>
            <w:tcBorders>
              <w:top w:val="nil"/>
              <w:left w:val="nil"/>
              <w:bottom w:val="nil"/>
              <w:right w:val="nil"/>
            </w:tcBorders>
            <w:shd w:val="clear" w:color="auto" w:fill="FFFFFF"/>
            <w:tcMar>
              <w:top w:w="80" w:type="dxa"/>
              <w:left w:w="120" w:type="dxa"/>
              <w:bottom w:w="80" w:type="dxa"/>
              <w:right w:w="120" w:type="dxa"/>
            </w:tcMar>
          </w:tcPr>
          <w:p w14:paraId="19B2C8AD">
            <w:pPr>
              <w:ind w:firstLine="0"/>
              <w:jc w:val="center"/>
            </w:pPr>
            <w:r>
              <w:rPr>
                <w:rFonts w:ascii="Times New Roman" w:hAnsi="Times New Roman" w:eastAsia="宋体"/>
                <w:b w:val="0"/>
                <w:bCs w:val="0"/>
                <w:color w:val="000000"/>
                <w:sz w:val="21"/>
                <w:szCs w:val="21"/>
              </w:rPr>
              <w:t>阶跃超调量（%）</w:t>
            </w:r>
          </w:p>
        </w:tc>
        <w:tc>
          <w:tcPr>
            <w:tcW w:w="2267" w:type="dxa"/>
            <w:tcBorders>
              <w:top w:val="nil"/>
              <w:left w:val="nil"/>
              <w:bottom w:val="nil"/>
              <w:right w:val="nil"/>
            </w:tcBorders>
            <w:shd w:val="clear" w:color="auto" w:fill="FFFFFF"/>
            <w:tcMar>
              <w:top w:w="80" w:type="dxa"/>
              <w:left w:w="120" w:type="dxa"/>
              <w:bottom w:w="80" w:type="dxa"/>
              <w:right w:w="120" w:type="dxa"/>
            </w:tcMar>
          </w:tcPr>
          <w:p w14:paraId="6DD26092">
            <w:pPr>
              <w:ind w:firstLine="0"/>
              <w:jc w:val="center"/>
            </w:pPr>
            <w:r>
              <w:rPr>
                <w:rFonts w:ascii="Times New Roman" w:hAnsi="Times New Roman" w:eastAsia="宋体"/>
                <w:b w:val="0"/>
                <w:bCs w:val="0"/>
                <w:color w:val="000000"/>
                <w:sz w:val="21"/>
                <w:szCs w:val="21"/>
              </w:rPr>
              <w:t>1.691</w:t>
            </w:r>
          </w:p>
        </w:tc>
        <w:tc>
          <w:tcPr>
            <w:tcW w:w="2267" w:type="dxa"/>
            <w:tcBorders>
              <w:top w:val="nil"/>
              <w:left w:val="nil"/>
              <w:bottom w:val="nil"/>
              <w:right w:val="nil"/>
            </w:tcBorders>
            <w:shd w:val="clear" w:color="auto" w:fill="FFFFFF"/>
            <w:tcMar>
              <w:top w:w="80" w:type="dxa"/>
              <w:left w:w="120" w:type="dxa"/>
              <w:bottom w:w="80" w:type="dxa"/>
              <w:right w:w="120" w:type="dxa"/>
            </w:tcMar>
          </w:tcPr>
          <w:p w14:paraId="285B3C9F">
            <w:pPr>
              <w:ind w:firstLine="0"/>
              <w:jc w:val="center"/>
            </w:pPr>
            <w:r>
              <w:rPr>
                <w:rFonts w:ascii="Times New Roman" w:hAnsi="Times New Roman" w:eastAsia="宋体"/>
                <w:b w:val="0"/>
                <w:bCs w:val="0"/>
                <w:color w:val="000000"/>
                <w:sz w:val="21"/>
                <w:szCs w:val="21"/>
              </w:rPr>
              <w:t>1.525</w:t>
            </w:r>
          </w:p>
        </w:tc>
        <w:tc>
          <w:tcPr>
            <w:tcW w:w="2269" w:type="dxa"/>
            <w:tcBorders>
              <w:top w:val="nil"/>
              <w:left w:val="nil"/>
              <w:bottom w:val="nil"/>
              <w:right w:val="nil"/>
            </w:tcBorders>
            <w:shd w:val="clear" w:color="auto" w:fill="FFFFFF"/>
            <w:tcMar>
              <w:top w:w="80" w:type="dxa"/>
              <w:left w:w="120" w:type="dxa"/>
              <w:bottom w:w="80" w:type="dxa"/>
              <w:right w:w="120" w:type="dxa"/>
            </w:tcMar>
          </w:tcPr>
          <w:p w14:paraId="0CEDE39C">
            <w:pPr>
              <w:ind w:firstLine="0"/>
              <w:jc w:val="center"/>
            </w:pPr>
            <w:r>
              <w:rPr>
                <w:rFonts w:ascii="Times New Roman" w:hAnsi="Times New Roman" w:eastAsia="宋体"/>
                <w:b w:val="0"/>
                <w:bCs w:val="0"/>
                <w:color w:val="000000"/>
                <w:sz w:val="21"/>
                <w:szCs w:val="21"/>
              </w:rPr>
              <w:t>1.5249</w:t>
            </w:r>
          </w:p>
        </w:tc>
      </w:tr>
      <w:tr w14:paraId="576B5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67" w:type="dxa"/>
            <w:tcBorders>
              <w:top w:val="nil"/>
              <w:left w:val="nil"/>
              <w:bottom w:val="nil"/>
              <w:right w:val="nil"/>
            </w:tcBorders>
            <w:shd w:val="clear" w:color="auto" w:fill="FFFFFF"/>
            <w:tcMar>
              <w:top w:w="80" w:type="dxa"/>
              <w:left w:w="120" w:type="dxa"/>
              <w:bottom w:w="80" w:type="dxa"/>
              <w:right w:w="120" w:type="dxa"/>
            </w:tcMar>
          </w:tcPr>
          <w:p w14:paraId="43ABE50A">
            <w:pPr>
              <w:ind w:firstLine="0"/>
              <w:jc w:val="center"/>
            </w:pPr>
            <w:r>
              <w:rPr>
                <w:rFonts w:ascii="Times New Roman" w:hAnsi="Times New Roman" w:eastAsia="宋体"/>
                <w:b w:val="0"/>
                <w:bCs w:val="0"/>
                <w:color w:val="000000"/>
                <w:sz w:val="21"/>
                <w:szCs w:val="21"/>
              </w:rPr>
              <w:t>2% 稳定时间 (s)</w:t>
            </w:r>
          </w:p>
        </w:tc>
        <w:tc>
          <w:tcPr>
            <w:tcW w:w="2267" w:type="dxa"/>
            <w:tcBorders>
              <w:top w:val="nil"/>
              <w:left w:val="nil"/>
              <w:bottom w:val="nil"/>
              <w:right w:val="nil"/>
            </w:tcBorders>
            <w:shd w:val="clear" w:color="auto" w:fill="FFFFFF"/>
            <w:tcMar>
              <w:top w:w="80" w:type="dxa"/>
              <w:left w:w="120" w:type="dxa"/>
              <w:bottom w:w="80" w:type="dxa"/>
              <w:right w:w="120" w:type="dxa"/>
            </w:tcMar>
          </w:tcPr>
          <w:p w14:paraId="69DE2F97">
            <w:pPr>
              <w:ind w:firstLine="0"/>
              <w:jc w:val="center"/>
            </w:pPr>
            <w:r>
              <w:rPr>
                <w:rFonts w:ascii="Times New Roman" w:hAnsi="Times New Roman" w:eastAsia="宋体"/>
                <w:b w:val="0"/>
                <w:bCs w:val="0"/>
                <w:color w:val="000000"/>
                <w:sz w:val="21"/>
                <w:szCs w:val="21"/>
              </w:rPr>
              <w:t>12.8</w:t>
            </w:r>
          </w:p>
        </w:tc>
        <w:tc>
          <w:tcPr>
            <w:tcW w:w="2267" w:type="dxa"/>
            <w:tcBorders>
              <w:top w:val="nil"/>
              <w:left w:val="nil"/>
              <w:bottom w:val="nil"/>
              <w:right w:val="nil"/>
            </w:tcBorders>
            <w:shd w:val="clear" w:color="auto" w:fill="FFFFFF"/>
            <w:tcMar>
              <w:top w:w="80" w:type="dxa"/>
              <w:left w:w="120" w:type="dxa"/>
              <w:bottom w:w="80" w:type="dxa"/>
              <w:right w:w="120" w:type="dxa"/>
            </w:tcMar>
          </w:tcPr>
          <w:p w14:paraId="1E1379FC">
            <w:pPr>
              <w:ind w:firstLine="0"/>
              <w:jc w:val="center"/>
            </w:pPr>
            <w:r>
              <w:rPr>
                <w:rFonts w:ascii="Times New Roman" w:hAnsi="Times New Roman" w:eastAsia="宋体"/>
                <w:b w:val="0"/>
                <w:bCs w:val="0"/>
                <w:color w:val="000000"/>
                <w:sz w:val="21"/>
                <w:szCs w:val="21"/>
              </w:rPr>
              <w:t>12.8</w:t>
            </w:r>
          </w:p>
        </w:tc>
        <w:tc>
          <w:tcPr>
            <w:tcW w:w="2269" w:type="dxa"/>
            <w:tcBorders>
              <w:top w:val="nil"/>
              <w:left w:val="nil"/>
              <w:bottom w:val="nil"/>
              <w:right w:val="nil"/>
            </w:tcBorders>
            <w:shd w:val="clear" w:color="auto" w:fill="FFFFFF"/>
            <w:tcMar>
              <w:top w:w="80" w:type="dxa"/>
              <w:left w:w="120" w:type="dxa"/>
              <w:bottom w:w="80" w:type="dxa"/>
              <w:right w:w="120" w:type="dxa"/>
            </w:tcMar>
          </w:tcPr>
          <w:p w14:paraId="769FBC10">
            <w:pPr>
              <w:ind w:firstLine="0"/>
              <w:jc w:val="center"/>
            </w:pPr>
            <w:r>
              <w:rPr>
                <w:rFonts w:ascii="Times New Roman" w:hAnsi="Times New Roman" w:eastAsia="宋体"/>
                <w:b w:val="0"/>
                <w:bCs w:val="0"/>
                <w:color w:val="000000"/>
                <w:sz w:val="21"/>
                <w:szCs w:val="21"/>
              </w:rPr>
              <w:t>--</w:t>
            </w:r>
          </w:p>
        </w:tc>
      </w:tr>
      <w:tr w14:paraId="1BD81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67" w:type="dxa"/>
            <w:tcBorders>
              <w:top w:val="nil"/>
              <w:left w:val="nil"/>
              <w:bottom w:val="single" w:color="000000" w:sz="12" w:space="0"/>
              <w:right w:val="nil"/>
            </w:tcBorders>
            <w:shd w:val="clear" w:color="auto" w:fill="FFFFFF"/>
            <w:tcMar>
              <w:top w:w="80" w:type="dxa"/>
              <w:left w:w="120" w:type="dxa"/>
              <w:bottom w:w="80" w:type="dxa"/>
              <w:right w:w="120" w:type="dxa"/>
            </w:tcMar>
          </w:tcPr>
          <w:p w14:paraId="5C9042C7">
            <w:pPr>
              <w:ind w:firstLine="0"/>
              <w:jc w:val="center"/>
            </w:pPr>
            <w:r>
              <w:rPr>
                <w:rFonts w:ascii="Times New Roman" w:hAnsi="Times New Roman" w:eastAsia="宋体"/>
                <w:b w:val="0"/>
                <w:bCs w:val="0"/>
                <w:color w:val="000000"/>
                <w:sz w:val="21"/>
                <w:szCs w:val="21"/>
              </w:rPr>
              <w:t>稳态误差 (m)</w:t>
            </w:r>
          </w:p>
        </w:tc>
        <w:tc>
          <w:tcPr>
            <w:tcW w:w="2267" w:type="dxa"/>
            <w:tcBorders>
              <w:top w:val="nil"/>
              <w:left w:val="nil"/>
              <w:bottom w:val="single" w:color="000000" w:sz="12" w:space="0"/>
              <w:right w:val="nil"/>
            </w:tcBorders>
            <w:shd w:val="clear" w:color="auto" w:fill="FFFFFF"/>
            <w:tcMar>
              <w:top w:w="80" w:type="dxa"/>
              <w:left w:w="120" w:type="dxa"/>
              <w:bottom w:w="80" w:type="dxa"/>
              <w:right w:w="120" w:type="dxa"/>
            </w:tcMar>
          </w:tcPr>
          <w:p w14:paraId="2317C827">
            <w:pPr>
              <w:ind w:firstLine="0"/>
              <w:jc w:val="center"/>
            </w:pPr>
            <w:r>
              <w:rPr>
                <w:rFonts w:ascii="Times New Roman" w:hAnsi="Times New Roman" w:eastAsia="宋体"/>
                <w:b w:val="0"/>
                <w:bCs w:val="0"/>
                <w:color w:val="000000"/>
                <w:sz w:val="21"/>
                <w:szCs w:val="21"/>
              </w:rPr>
              <w:t>1.72e-6</w:t>
            </w:r>
          </w:p>
        </w:tc>
        <w:tc>
          <w:tcPr>
            <w:tcW w:w="2267" w:type="dxa"/>
            <w:tcBorders>
              <w:top w:val="nil"/>
              <w:left w:val="nil"/>
              <w:bottom w:val="single" w:color="000000" w:sz="12" w:space="0"/>
              <w:right w:val="nil"/>
            </w:tcBorders>
            <w:shd w:val="clear" w:color="auto" w:fill="FFFFFF"/>
            <w:tcMar>
              <w:top w:w="80" w:type="dxa"/>
              <w:left w:w="120" w:type="dxa"/>
              <w:bottom w:w="80" w:type="dxa"/>
              <w:right w:w="120" w:type="dxa"/>
            </w:tcMar>
          </w:tcPr>
          <w:p w14:paraId="013E22E7">
            <w:pPr>
              <w:ind w:firstLine="0"/>
              <w:jc w:val="center"/>
            </w:pPr>
            <w:r>
              <w:rPr>
                <w:rFonts w:ascii="Times New Roman" w:hAnsi="Times New Roman" w:eastAsia="宋体"/>
                <w:b w:val="0"/>
                <w:bCs w:val="0"/>
                <w:color w:val="000000"/>
                <w:sz w:val="21"/>
                <w:szCs w:val="21"/>
              </w:rPr>
              <w:t>2.92e-6</w:t>
            </w:r>
          </w:p>
        </w:tc>
        <w:tc>
          <w:tcPr>
            <w:tcW w:w="2269" w:type="dxa"/>
            <w:tcBorders>
              <w:top w:val="nil"/>
              <w:left w:val="nil"/>
              <w:bottom w:val="single" w:color="000000" w:sz="12" w:space="0"/>
              <w:right w:val="nil"/>
            </w:tcBorders>
            <w:shd w:val="clear" w:color="auto" w:fill="FFFFFF"/>
            <w:tcMar>
              <w:top w:w="80" w:type="dxa"/>
              <w:left w:w="120" w:type="dxa"/>
              <w:bottom w:w="80" w:type="dxa"/>
              <w:right w:w="120" w:type="dxa"/>
            </w:tcMar>
          </w:tcPr>
          <w:p w14:paraId="58CEB637">
            <w:pPr>
              <w:ind w:firstLine="0"/>
              <w:jc w:val="center"/>
            </w:pPr>
            <w:r>
              <w:rPr>
                <w:rFonts w:ascii="Times New Roman" w:hAnsi="Times New Roman" w:eastAsia="宋体"/>
                <w:b w:val="0"/>
                <w:bCs w:val="0"/>
                <w:color w:val="000000"/>
                <w:sz w:val="21"/>
                <w:szCs w:val="21"/>
              </w:rPr>
              <w:t>--</w:t>
            </w:r>
          </w:p>
        </w:tc>
      </w:tr>
    </w:tbl>
    <w:p w14:paraId="23A23DB5">
      <w:pPr>
        <w:spacing w:line="360" w:lineRule="auto"/>
        <w:ind w:firstLine="480"/>
        <w:rPr>
          <w:color w:val="000000"/>
        </w:rPr>
      </w:pPr>
    </w:p>
    <w:p w14:paraId="43237F0A">
      <w:pPr>
        <w:spacing w:line="360" w:lineRule="auto"/>
        <w:ind w:firstLine="480"/>
      </w:pPr>
      <w:r>
        <w:rPr>
          <w:color w:val="000000"/>
        </w:rPr>
        <w:t>增强型模型将阶跃超调量从1.691%降低至1.525%，在不改变响应速度的情况下有效减弱了动态影响（两者的稳态时间均保持为12.8s）。两款模型的稳态误差均维持在</w:t>
      </w:r>
      <m:oMath>
        <m:r>
          <m:rPr/>
          <m:t>−6</m:t>
        </m:r>
      </m:oMath>
      <w:r>
        <w:rPr>
          <w:color w:val="000000"/>
        </w:rPr>
        <w:t xml:space="preserve"> 量级，证实了其高稳态控制精度。复合滑模控制器在保持原始响应速度和稳态精度的同时，优化了动态过渡过程。</w:t>
      </w:r>
    </w:p>
    <w:p w14:paraId="58D32A59">
      <w:pPr>
        <w:pStyle w:val="4"/>
        <w:spacing w:before="120" w:after="60" w:line="360" w:lineRule="auto"/>
        <w:ind w:firstLine="0"/>
        <w:jc w:val="left"/>
      </w:pPr>
      <w:r>
        <w:rPr>
          <w:rFonts w:ascii="Times New Roman" w:hAnsi="Times New Roman" w:eastAsia="黑体"/>
          <w:b/>
          <w:bCs/>
          <w:color w:val="000000"/>
          <w:sz w:val="24"/>
          <w:szCs w:val="24"/>
        </w:rPr>
        <w:t>5.7 蒙特卡洛鲁棒性测试</w:t>
      </w:r>
    </w:p>
    <w:p w14:paraId="733065B3">
      <w:pPr>
        <w:spacing w:line="360" w:lineRule="auto"/>
        <w:ind w:firstLine="480"/>
      </w:pPr>
      <w:r>
        <w:rPr>
          <w:color w:val="000000"/>
        </w:rPr>
        <w:t>为了模拟真实的户外飞行条件，同时引入了三种典型的扰动因素：机体质量偏差、自然风扰动和传感器测量噪声。共进行了180次蒙特卡洛随机重放实验（每种场景60次）。</w:t>
      </w:r>
    </w:p>
    <w:p w14:paraId="38136FA2">
      <w:pPr>
        <w:spacing w:line="360" w:lineRule="auto"/>
        <w:ind w:firstLine="480"/>
      </w:pPr>
      <w:r>
        <w:rPr>
          <w:color w:val="000000"/>
        </w:rPr>
        <w:t>方法与其失效原因：初赛版本的蒙特卡洛并非仿真，而是在已有仿真输出的路径 RMSE 上乘一个解析因子 disturbance = 1 + 0.35·|Δm|/0.2 + 0.055·v_wind + n_sensor，再据此计算退化率。该退化率的表达式中标称 RMSE 被约去，因此结果与控制器无关：把标称 RMSE 在 10⁻³ 至 10⁴ 之间任意取值，退化率的均值、P95 与最大值完全相同（35.805%、54.505%、60.253%），即该实验对基线模型与增强模型会给出一致的数字，不构成对控制性能的检验。此外代码中的扰动为均匀分布而非本手册原表所述的高斯白噪声，质量偏差范围为 ±20% 而非 ±10%。下表给出未经任何后处理的原始统计量，仅供说明该方法的输出量级，不作为鲁棒性结论。</w:t>
      </w:r>
    </w:p>
    <w:p w14:paraId="061C1199">
      <w:pPr>
        <w:spacing w:line="360" w:lineRule="auto"/>
        <w:ind w:firstLine="480"/>
      </w:pPr>
      <w:r>
        <w:rPr>
          <w:color w:val="000000"/>
        </w:rPr>
        <w:t>扰动配置：</w:t>
      </w:r>
    </w:p>
    <w:tbl>
      <w:tblPr>
        <w:tblStyle w:val="11"/>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267"/>
        <w:gridCol w:w="2267"/>
        <w:gridCol w:w="2267"/>
        <w:gridCol w:w="2269"/>
      </w:tblGrid>
      <w:tr w14:paraId="4AEE7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67"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43BF763C">
            <w:pPr>
              <w:ind w:firstLine="0"/>
              <w:jc w:val="center"/>
            </w:pPr>
            <w:r>
              <w:rPr>
                <w:rFonts w:ascii="Times New Roman" w:hAnsi="Times New Roman" w:eastAsia="宋体"/>
                <w:b/>
                <w:bCs/>
                <w:color w:val="000000"/>
                <w:sz w:val="21"/>
                <w:szCs w:val="21"/>
              </w:rPr>
              <w:t>扰动类型</w:t>
            </w:r>
          </w:p>
        </w:tc>
        <w:tc>
          <w:tcPr>
            <w:tcW w:w="2267"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5D1525ED">
            <w:pPr>
              <w:ind w:firstLine="0"/>
              <w:jc w:val="center"/>
            </w:pPr>
            <w:r>
              <w:rPr>
                <w:rFonts w:ascii="Times New Roman" w:hAnsi="Times New Roman" w:eastAsia="宋体"/>
                <w:b/>
                <w:bCs/>
                <w:color w:val="000000"/>
                <w:sz w:val="21"/>
                <w:szCs w:val="21"/>
              </w:rPr>
              <w:t>分布</w:t>
            </w:r>
          </w:p>
        </w:tc>
        <w:tc>
          <w:tcPr>
            <w:tcW w:w="2267"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43252AAF">
            <w:pPr>
              <w:ind w:firstLine="0"/>
              <w:jc w:val="center"/>
            </w:pPr>
            <w:r>
              <w:rPr>
                <w:rFonts w:ascii="Times New Roman" w:hAnsi="Times New Roman" w:eastAsia="宋体"/>
                <w:b/>
                <w:bCs/>
                <w:color w:val="000000"/>
                <w:sz w:val="21"/>
                <w:szCs w:val="21"/>
              </w:rPr>
              <w:t>参数范围</w:t>
            </w:r>
          </w:p>
        </w:tc>
        <w:tc>
          <w:tcPr>
            <w:tcW w:w="2269"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3264804B">
            <w:pPr>
              <w:ind w:firstLine="0"/>
              <w:jc w:val="center"/>
            </w:pPr>
            <w:r>
              <w:rPr>
                <w:rFonts w:ascii="Times New Roman" w:hAnsi="Times New Roman" w:eastAsia="宋体"/>
                <w:b/>
                <w:bCs/>
                <w:color w:val="000000"/>
                <w:sz w:val="21"/>
                <w:szCs w:val="21"/>
              </w:rPr>
              <w:t>目的</w:t>
            </w:r>
          </w:p>
        </w:tc>
      </w:tr>
      <w:tr w14:paraId="19FCC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67" w:type="dxa"/>
            <w:tcBorders>
              <w:top w:val="nil"/>
              <w:left w:val="nil"/>
              <w:bottom w:val="nil"/>
              <w:right w:val="nil"/>
            </w:tcBorders>
            <w:shd w:val="clear" w:color="auto" w:fill="FFFFFF"/>
            <w:tcMar>
              <w:top w:w="80" w:type="dxa"/>
              <w:left w:w="120" w:type="dxa"/>
              <w:bottom w:w="80" w:type="dxa"/>
              <w:right w:w="120" w:type="dxa"/>
            </w:tcMar>
          </w:tcPr>
          <w:p w14:paraId="19BD7109">
            <w:pPr>
              <w:ind w:firstLine="0"/>
              <w:jc w:val="center"/>
            </w:pPr>
            <w:r>
              <w:rPr>
                <w:rFonts w:ascii="Times New Roman" w:hAnsi="Times New Roman" w:eastAsia="宋体"/>
                <w:b w:val="0"/>
                <w:bCs w:val="0"/>
                <w:color w:val="000000"/>
                <w:sz w:val="21"/>
                <w:szCs w:val="21"/>
              </w:rPr>
              <w:t>质量偏差</w:t>
            </w:r>
          </w:p>
        </w:tc>
        <w:tc>
          <w:tcPr>
            <w:tcW w:w="2267" w:type="dxa"/>
            <w:tcBorders>
              <w:top w:val="nil"/>
              <w:left w:val="nil"/>
              <w:bottom w:val="nil"/>
              <w:right w:val="nil"/>
            </w:tcBorders>
            <w:shd w:val="clear" w:color="auto" w:fill="FFFFFF"/>
            <w:tcMar>
              <w:top w:w="80" w:type="dxa"/>
              <w:left w:w="120" w:type="dxa"/>
              <w:bottom w:w="80" w:type="dxa"/>
              <w:right w:w="120" w:type="dxa"/>
            </w:tcMar>
          </w:tcPr>
          <w:p w14:paraId="23B0C0BA">
            <w:pPr>
              <w:ind w:firstLine="0"/>
              <w:jc w:val="center"/>
            </w:pPr>
            <w:r>
              <w:rPr>
                <w:rFonts w:ascii="Times New Roman" w:hAnsi="Times New Roman" w:eastAsia="宋体"/>
                <w:b w:val="0"/>
                <w:bCs w:val="0"/>
                <w:color w:val="000000"/>
                <w:sz w:val="21"/>
                <w:szCs w:val="21"/>
              </w:rPr>
              <w:t>均匀</w:t>
            </w:r>
          </w:p>
        </w:tc>
        <w:tc>
          <w:tcPr>
            <w:tcW w:w="2267" w:type="dxa"/>
            <w:tcBorders>
              <w:top w:val="nil"/>
              <w:left w:val="nil"/>
              <w:bottom w:val="nil"/>
              <w:right w:val="nil"/>
            </w:tcBorders>
            <w:shd w:val="clear" w:color="auto" w:fill="FFFFFF"/>
            <w:tcMar>
              <w:top w:w="80" w:type="dxa"/>
              <w:left w:w="120" w:type="dxa"/>
              <w:bottom w:w="80" w:type="dxa"/>
              <w:right w:w="120" w:type="dxa"/>
            </w:tcMar>
          </w:tcPr>
          <w:p w14:paraId="3B7DF168">
            <w:pPr>
              <w:ind w:firstLine="0"/>
              <w:jc w:val="center"/>
            </w:pPr>
            <w:r>
              <w:rPr>
                <w:rFonts w:ascii="Times New Roman" w:hAnsi="Times New Roman" w:eastAsia="宋体"/>
                <w:b w:val="0"/>
                <w:bCs w:val="0"/>
                <w:color w:val="000000"/>
                <w:sz w:val="21"/>
                <w:szCs w:val="21"/>
              </w:rPr>
              <w:t>±10% 标称质量</w:t>
            </w:r>
          </w:p>
        </w:tc>
        <w:tc>
          <w:tcPr>
            <w:tcW w:w="2269" w:type="dxa"/>
            <w:tcBorders>
              <w:top w:val="nil"/>
              <w:left w:val="nil"/>
              <w:bottom w:val="nil"/>
              <w:right w:val="nil"/>
            </w:tcBorders>
            <w:shd w:val="clear" w:color="auto" w:fill="FFFFFF"/>
            <w:tcMar>
              <w:top w:w="80" w:type="dxa"/>
              <w:left w:w="120" w:type="dxa"/>
              <w:bottom w:w="80" w:type="dxa"/>
              <w:right w:w="120" w:type="dxa"/>
            </w:tcMar>
          </w:tcPr>
          <w:p w14:paraId="270AEBE8">
            <w:pPr>
              <w:ind w:firstLine="0"/>
              <w:jc w:val="center"/>
            </w:pPr>
            <w:r>
              <w:rPr>
                <w:rFonts w:ascii="Times New Roman" w:hAnsi="Times New Roman" w:eastAsia="宋体"/>
                <w:b w:val="0"/>
                <w:bCs w:val="0"/>
                <w:color w:val="000000"/>
                <w:sz w:val="21"/>
                <w:szCs w:val="21"/>
              </w:rPr>
              <w:t>模拟有效载荷变化和制造公差</w:t>
            </w:r>
          </w:p>
        </w:tc>
      </w:tr>
      <w:tr w14:paraId="65057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67" w:type="dxa"/>
            <w:tcBorders>
              <w:top w:val="nil"/>
              <w:left w:val="nil"/>
              <w:bottom w:val="nil"/>
              <w:right w:val="nil"/>
            </w:tcBorders>
            <w:shd w:val="clear" w:color="auto" w:fill="FFFFFF"/>
            <w:tcMar>
              <w:top w:w="80" w:type="dxa"/>
              <w:left w:w="120" w:type="dxa"/>
              <w:bottom w:w="80" w:type="dxa"/>
              <w:right w:w="120" w:type="dxa"/>
            </w:tcMar>
          </w:tcPr>
          <w:p w14:paraId="257D8E0D">
            <w:pPr>
              <w:ind w:firstLine="0"/>
              <w:jc w:val="center"/>
            </w:pPr>
            <w:r>
              <w:rPr>
                <w:rFonts w:ascii="Times New Roman" w:hAnsi="Times New Roman" w:eastAsia="宋体"/>
                <w:b w:val="0"/>
                <w:bCs w:val="0"/>
                <w:color w:val="000000"/>
                <w:sz w:val="21"/>
                <w:szCs w:val="21"/>
              </w:rPr>
              <w:t>风扰动</w:t>
            </w:r>
          </w:p>
        </w:tc>
        <w:tc>
          <w:tcPr>
            <w:tcW w:w="2267" w:type="dxa"/>
            <w:tcBorders>
              <w:top w:val="nil"/>
              <w:left w:val="nil"/>
              <w:bottom w:val="nil"/>
              <w:right w:val="nil"/>
            </w:tcBorders>
            <w:shd w:val="clear" w:color="auto" w:fill="FFFFFF"/>
            <w:tcMar>
              <w:top w:w="80" w:type="dxa"/>
              <w:left w:w="120" w:type="dxa"/>
              <w:bottom w:w="80" w:type="dxa"/>
              <w:right w:w="120" w:type="dxa"/>
            </w:tcMar>
          </w:tcPr>
          <w:p w14:paraId="354DC31E">
            <w:pPr>
              <w:ind w:firstLine="0"/>
              <w:jc w:val="center"/>
            </w:pPr>
            <w:r>
              <w:rPr>
                <w:rFonts w:ascii="Times New Roman" w:hAnsi="Times New Roman" w:eastAsia="宋体"/>
                <w:b w:val="0"/>
                <w:bCs w:val="0"/>
                <w:color w:val="000000"/>
                <w:sz w:val="21"/>
                <w:szCs w:val="21"/>
              </w:rPr>
              <w:t>高斯白噪声</w:t>
            </w:r>
          </w:p>
        </w:tc>
        <w:tc>
          <w:tcPr>
            <w:tcW w:w="2267" w:type="dxa"/>
            <w:tcBorders>
              <w:top w:val="nil"/>
              <w:left w:val="nil"/>
              <w:bottom w:val="nil"/>
              <w:right w:val="nil"/>
            </w:tcBorders>
            <w:shd w:val="clear" w:color="auto" w:fill="FFFFFF"/>
            <w:tcMar>
              <w:top w:w="80" w:type="dxa"/>
              <w:left w:w="120" w:type="dxa"/>
              <w:bottom w:w="80" w:type="dxa"/>
              <w:right w:w="120" w:type="dxa"/>
            </w:tcMar>
          </w:tcPr>
          <w:p w14:paraId="44865DEF">
            <w:pPr>
              <w:ind w:firstLine="0"/>
              <w:jc w:val="center"/>
            </w:pPr>
            <w:r>
              <w:rPr>
                <w:rFonts w:ascii="Times New Roman" w:hAnsi="Times New Roman" w:eastAsia="宋体"/>
                <w:b w:val="0"/>
                <w:bCs w:val="0"/>
                <w:color w:val="000000"/>
                <w:sz w:val="21"/>
                <w:szCs w:val="21"/>
              </w:rPr>
              <w:t>均值为 0，标准差为 0.5 m/s</w:t>
            </w:r>
          </w:p>
        </w:tc>
        <w:tc>
          <w:tcPr>
            <w:tcW w:w="2269" w:type="dxa"/>
            <w:tcBorders>
              <w:top w:val="nil"/>
              <w:left w:val="nil"/>
              <w:bottom w:val="nil"/>
              <w:right w:val="nil"/>
            </w:tcBorders>
            <w:shd w:val="clear" w:color="auto" w:fill="FFFFFF"/>
            <w:tcMar>
              <w:top w:w="80" w:type="dxa"/>
              <w:left w:w="120" w:type="dxa"/>
              <w:bottom w:w="80" w:type="dxa"/>
              <w:right w:w="120" w:type="dxa"/>
            </w:tcMar>
          </w:tcPr>
          <w:p w14:paraId="5A317559">
            <w:pPr>
              <w:ind w:firstLine="0"/>
              <w:jc w:val="center"/>
            </w:pPr>
            <w:r>
              <w:rPr>
                <w:rFonts w:ascii="Times New Roman" w:hAnsi="Times New Roman" w:eastAsia="宋体"/>
                <w:b w:val="0"/>
                <w:bCs w:val="0"/>
                <w:color w:val="000000"/>
                <w:sz w:val="21"/>
                <w:szCs w:val="21"/>
              </w:rPr>
              <w:t>应用于三轴速度通道</w:t>
            </w:r>
          </w:p>
        </w:tc>
      </w:tr>
      <w:tr w14:paraId="0DEEA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67" w:type="dxa"/>
            <w:tcBorders>
              <w:top w:val="nil"/>
              <w:left w:val="nil"/>
              <w:bottom w:val="single" w:color="000000" w:sz="12" w:space="0"/>
              <w:right w:val="nil"/>
            </w:tcBorders>
            <w:shd w:val="clear" w:color="auto" w:fill="FFFFFF"/>
            <w:tcMar>
              <w:top w:w="80" w:type="dxa"/>
              <w:left w:w="120" w:type="dxa"/>
              <w:bottom w:w="80" w:type="dxa"/>
              <w:right w:w="120" w:type="dxa"/>
            </w:tcMar>
          </w:tcPr>
          <w:p w14:paraId="18A7794A">
            <w:pPr>
              <w:ind w:firstLine="0"/>
              <w:jc w:val="center"/>
            </w:pPr>
            <w:r>
              <w:rPr>
                <w:rFonts w:ascii="Times New Roman" w:hAnsi="Times New Roman" w:eastAsia="宋体"/>
                <w:b w:val="0"/>
                <w:bCs w:val="0"/>
                <w:color w:val="000000"/>
                <w:sz w:val="21"/>
                <w:szCs w:val="21"/>
              </w:rPr>
              <w:t>传感器噪声</w:t>
            </w:r>
          </w:p>
        </w:tc>
        <w:tc>
          <w:tcPr>
            <w:tcW w:w="2267" w:type="dxa"/>
            <w:tcBorders>
              <w:top w:val="nil"/>
              <w:left w:val="nil"/>
              <w:bottom w:val="single" w:color="000000" w:sz="12" w:space="0"/>
              <w:right w:val="nil"/>
            </w:tcBorders>
            <w:shd w:val="clear" w:color="auto" w:fill="FFFFFF"/>
            <w:tcMar>
              <w:top w:w="80" w:type="dxa"/>
              <w:left w:w="120" w:type="dxa"/>
              <w:bottom w:w="80" w:type="dxa"/>
              <w:right w:w="120" w:type="dxa"/>
            </w:tcMar>
          </w:tcPr>
          <w:p w14:paraId="583818CA">
            <w:pPr>
              <w:ind w:firstLine="0"/>
              <w:jc w:val="center"/>
            </w:pPr>
            <w:r>
              <w:rPr>
                <w:rFonts w:ascii="Times New Roman" w:hAnsi="Times New Roman" w:eastAsia="宋体"/>
                <w:b w:val="0"/>
                <w:bCs w:val="0"/>
                <w:color w:val="000000"/>
                <w:sz w:val="21"/>
                <w:szCs w:val="21"/>
              </w:rPr>
              <w:t>高斯白噪声</w:t>
            </w:r>
          </w:p>
        </w:tc>
        <w:tc>
          <w:tcPr>
            <w:tcW w:w="2267" w:type="dxa"/>
            <w:tcBorders>
              <w:top w:val="nil"/>
              <w:left w:val="nil"/>
              <w:bottom w:val="single" w:color="000000" w:sz="12" w:space="0"/>
              <w:right w:val="nil"/>
            </w:tcBorders>
            <w:shd w:val="clear" w:color="auto" w:fill="FFFFFF"/>
            <w:tcMar>
              <w:top w:w="80" w:type="dxa"/>
              <w:left w:w="120" w:type="dxa"/>
              <w:bottom w:w="80" w:type="dxa"/>
              <w:right w:w="120" w:type="dxa"/>
            </w:tcMar>
          </w:tcPr>
          <w:p w14:paraId="2399BEA8">
            <w:pPr>
              <w:ind w:firstLine="0"/>
              <w:jc w:val="center"/>
            </w:pPr>
            <w:r>
              <w:rPr>
                <w:rFonts w:ascii="Times New Roman" w:hAnsi="Times New Roman" w:eastAsia="宋体"/>
                <w:b w:val="0"/>
                <w:bCs w:val="0"/>
                <w:color w:val="000000"/>
                <w:sz w:val="21"/>
                <w:szCs w:val="21"/>
              </w:rPr>
              <w:t>姿态：标准差 = 0.01 rad；位置：标准差 = 0.05 m</w:t>
            </w:r>
          </w:p>
        </w:tc>
        <w:tc>
          <w:tcPr>
            <w:tcW w:w="2269" w:type="dxa"/>
            <w:tcBorders>
              <w:top w:val="nil"/>
              <w:left w:val="nil"/>
              <w:bottom w:val="single" w:color="000000" w:sz="12" w:space="0"/>
              <w:right w:val="nil"/>
            </w:tcBorders>
            <w:shd w:val="clear" w:color="auto" w:fill="FFFFFF"/>
            <w:tcMar>
              <w:top w:w="80" w:type="dxa"/>
              <w:left w:w="120" w:type="dxa"/>
              <w:bottom w:w="80" w:type="dxa"/>
              <w:right w:w="120" w:type="dxa"/>
            </w:tcMar>
          </w:tcPr>
          <w:p w14:paraId="57B0A52E">
            <w:pPr>
              <w:ind w:firstLine="0"/>
              <w:jc w:val="center"/>
            </w:pPr>
            <w:r>
              <w:rPr>
                <w:rFonts w:ascii="Times New Roman" w:hAnsi="Times New Roman" w:eastAsia="宋体"/>
                <w:b w:val="0"/>
                <w:bCs w:val="0"/>
                <w:color w:val="000000"/>
                <w:sz w:val="21"/>
                <w:szCs w:val="21"/>
              </w:rPr>
              <w:t>模拟IMU和GPS测量误差</w:t>
            </w:r>
          </w:p>
        </w:tc>
      </w:tr>
    </w:tbl>
    <w:p w14:paraId="48DC7A75">
      <w:pPr>
        <w:spacing w:line="360" w:lineRule="auto"/>
        <w:ind w:firstLine="480"/>
        <w:rPr>
          <w:color w:val="000000"/>
        </w:rPr>
      </w:pPr>
    </w:p>
    <w:p w14:paraId="4E0ED8E1">
      <w:pPr>
        <w:spacing w:line="360" w:lineRule="auto"/>
        <w:ind w:firstLine="480"/>
      </w:pPr>
      <w:r>
        <w:rPr>
          <w:color w:val="000000"/>
        </w:rPr>
        <w:t>在每次运行中，这三种干扰同时施加，并使用独立的随机种子以确保统计独立性。</w:t>
      </w:r>
    </w:p>
    <w:p w14:paraId="073B988F">
      <w:pPr>
        <w:spacing w:line="360" w:lineRule="auto"/>
        <w:ind w:firstLine="480"/>
      </w:pPr>
      <w:r>
        <w:rPr>
          <w:color w:val="000000"/>
        </w:rPr>
        <w:t>鲁棒性测试结果：</w:t>
      </w:r>
    </w:p>
    <w:tbl>
      <w:tblPr>
        <w:tblStyle w:val="11"/>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814"/>
        <w:gridCol w:w="1814"/>
        <w:gridCol w:w="1814"/>
        <w:gridCol w:w="1814"/>
        <w:gridCol w:w="1814"/>
      </w:tblGrid>
      <w:tr w14:paraId="7D236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14"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6431E521">
            <w:pPr>
              <w:ind w:firstLine="0"/>
              <w:jc w:val="center"/>
            </w:pPr>
            <w:r>
              <w:rPr>
                <w:rFonts w:ascii="Times New Roman" w:hAnsi="Times New Roman" w:eastAsia="宋体"/>
                <w:b/>
                <w:bCs/>
                <w:color w:val="000000"/>
                <w:sz w:val="21"/>
                <w:szCs w:val="21"/>
              </w:rPr>
              <w:t>场景</w:t>
            </w:r>
          </w:p>
        </w:tc>
        <w:tc>
          <w:tcPr>
            <w:tcW w:w="1814"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499066B0">
            <w:pPr>
              <w:ind w:firstLine="0"/>
              <w:jc w:val="center"/>
            </w:pPr>
            <w:r>
              <w:rPr>
                <w:rFonts w:ascii="Times New Roman" w:hAnsi="Times New Roman" w:eastAsia="宋体"/>
                <w:b/>
                <w:bCs/>
                <w:color w:val="000000"/>
                <w:sz w:val="21"/>
                <w:szCs w:val="21"/>
              </w:rPr>
              <w:t>P95性能退化率（%）</w:t>
            </w:r>
          </w:p>
        </w:tc>
        <w:tc>
          <w:tcPr>
            <w:tcW w:w="1814"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43193BBE">
            <w:pPr>
              <w:ind w:firstLine="0"/>
              <w:jc w:val="center"/>
            </w:pPr>
            <w:r>
              <w:rPr>
                <w:rFonts w:ascii="Times New Roman" w:hAnsi="Times New Roman" w:eastAsia="宋体"/>
                <w:b/>
                <w:bCs/>
                <w:color w:val="000000"/>
                <w:sz w:val="21"/>
                <w:szCs w:val="21"/>
              </w:rPr>
              <w:t>安全阈值</w:t>
            </w:r>
          </w:p>
        </w:tc>
        <w:tc>
          <w:tcPr>
            <w:tcW w:w="1814"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7C7E1FB7">
            <w:pPr>
              <w:ind w:firstLine="0"/>
              <w:jc w:val="center"/>
            </w:pPr>
            <w:r>
              <w:rPr>
                <w:rFonts w:ascii="Times New Roman" w:hAnsi="Times New Roman" w:eastAsia="宋体"/>
                <w:b/>
                <w:bCs/>
                <w:color w:val="000000"/>
                <w:sz w:val="21"/>
                <w:szCs w:val="21"/>
              </w:rPr>
              <w:t>裕度</w:t>
            </w:r>
          </w:p>
        </w:tc>
        <w:tc>
          <w:tcPr>
            <w:tcW w:w="1814"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6A16D356">
            <w:pPr>
              <w:ind w:firstLine="0"/>
              <w:jc w:val="center"/>
            </w:pPr>
            <w:r>
              <w:rPr>
                <w:rFonts w:ascii="Times New Roman" w:hAnsi="Times New Roman" w:eastAsia="宋体"/>
                <w:b/>
                <w:bCs/>
                <w:color w:val="000000"/>
                <w:sz w:val="21"/>
                <w:szCs w:val="21"/>
              </w:rPr>
              <w:t>通过</w:t>
            </w:r>
          </w:p>
        </w:tc>
      </w:tr>
      <w:tr w14:paraId="6A071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14" w:type="dxa"/>
            <w:tcBorders>
              <w:top w:val="nil"/>
              <w:left w:val="nil"/>
              <w:bottom w:val="nil"/>
              <w:right w:val="nil"/>
            </w:tcBorders>
            <w:shd w:val="clear" w:color="auto" w:fill="FFFFFF"/>
            <w:tcMar>
              <w:top w:w="80" w:type="dxa"/>
              <w:left w:w="120" w:type="dxa"/>
              <w:bottom w:w="80" w:type="dxa"/>
              <w:right w:w="120" w:type="dxa"/>
            </w:tcMar>
          </w:tcPr>
          <w:p w14:paraId="21123E6A">
            <w:pPr>
              <w:ind w:firstLine="0"/>
              <w:jc w:val="center"/>
            </w:pPr>
            <w:r>
              <w:rPr>
                <w:rFonts w:ascii="Times New Roman" w:hAnsi="Times New Roman" w:eastAsia="宋体"/>
                <w:b w:val="0"/>
                <w:bCs w:val="0"/>
                <w:color w:val="000000"/>
                <w:sz w:val="21"/>
                <w:szCs w:val="21"/>
              </w:rPr>
              <w:t>爬升</w:t>
            </w:r>
          </w:p>
        </w:tc>
        <w:tc>
          <w:tcPr>
            <w:tcW w:w="1814" w:type="dxa"/>
            <w:tcBorders>
              <w:top w:val="nil"/>
              <w:left w:val="nil"/>
              <w:bottom w:val="nil"/>
              <w:right w:val="nil"/>
            </w:tcBorders>
            <w:shd w:val="clear" w:color="auto" w:fill="FFFFFF"/>
            <w:tcMar>
              <w:top w:w="80" w:type="dxa"/>
              <w:left w:w="120" w:type="dxa"/>
              <w:bottom w:w="80" w:type="dxa"/>
              <w:right w:w="120" w:type="dxa"/>
            </w:tcMar>
          </w:tcPr>
          <w:p w14:paraId="75926BC8">
            <w:pPr>
              <w:ind w:firstLine="0"/>
              <w:jc w:val="center"/>
            </w:pPr>
            <w:r>
              <w:rPr>
                <w:rFonts w:ascii="Times New Roman" w:hAnsi="Times New Roman" w:eastAsia="宋体"/>
                <w:b w:val="0"/>
                <w:bCs w:val="0"/>
                <w:color w:val="000000"/>
                <w:sz w:val="21"/>
                <w:szCs w:val="21"/>
              </w:rPr>
              <w:t>52.84</w:t>
            </w:r>
          </w:p>
        </w:tc>
        <w:tc>
          <w:tcPr>
            <w:tcW w:w="1814" w:type="dxa"/>
            <w:tcBorders>
              <w:top w:val="nil"/>
              <w:left w:val="nil"/>
              <w:bottom w:val="nil"/>
              <w:right w:val="nil"/>
            </w:tcBorders>
            <w:shd w:val="clear" w:color="auto" w:fill="FFFFFF"/>
            <w:tcMar>
              <w:top w:w="80" w:type="dxa"/>
              <w:left w:w="120" w:type="dxa"/>
              <w:bottom w:w="80" w:type="dxa"/>
              <w:right w:w="120" w:type="dxa"/>
            </w:tcMar>
          </w:tcPr>
          <w:p w14:paraId="5A4B64AE">
            <w:pPr>
              <w:ind w:firstLine="0"/>
              <w:jc w:val="center"/>
            </w:pPr>
            <w:r>
              <w:rPr>
                <w:rFonts w:ascii="Times New Roman" w:hAnsi="Times New Roman" w:eastAsia="宋体"/>
                <w:b w:val="0"/>
                <w:bCs w:val="0"/>
                <w:color w:val="000000"/>
                <w:sz w:val="21"/>
                <w:szCs w:val="21"/>
              </w:rPr>
              <w:t>15%</w:t>
            </w:r>
          </w:p>
        </w:tc>
        <w:tc>
          <w:tcPr>
            <w:tcW w:w="1814" w:type="dxa"/>
            <w:tcBorders>
              <w:top w:val="nil"/>
              <w:left w:val="nil"/>
              <w:bottom w:val="nil"/>
              <w:right w:val="nil"/>
            </w:tcBorders>
            <w:shd w:val="clear" w:color="auto" w:fill="FFFFFF"/>
            <w:tcMar>
              <w:top w:w="80" w:type="dxa"/>
              <w:left w:w="120" w:type="dxa"/>
              <w:bottom w:w="80" w:type="dxa"/>
              <w:right w:w="120" w:type="dxa"/>
            </w:tcMar>
          </w:tcPr>
          <w:p w14:paraId="182D1106">
            <w:pPr>
              <w:ind w:firstLine="0"/>
              <w:jc w:val="center"/>
            </w:pPr>
            <w:r>
              <w:rPr>
                <w:rFonts w:ascii="Times New Roman" w:hAnsi="Times New Roman" w:eastAsia="宋体"/>
                <w:b w:val="0"/>
                <w:bCs w:val="0"/>
                <w:color w:val="000000"/>
                <w:sz w:val="21"/>
                <w:szCs w:val="21"/>
              </w:rPr>
              <w:t>—</w:t>
            </w:r>
          </w:p>
        </w:tc>
        <w:tc>
          <w:tcPr>
            <w:tcW w:w="1814" w:type="dxa"/>
            <w:tcBorders>
              <w:top w:val="nil"/>
              <w:left w:val="nil"/>
              <w:bottom w:val="nil"/>
              <w:right w:val="nil"/>
            </w:tcBorders>
            <w:shd w:val="clear" w:color="auto" w:fill="FFFFFF"/>
            <w:tcMar>
              <w:top w:w="80" w:type="dxa"/>
              <w:left w:w="120" w:type="dxa"/>
              <w:bottom w:w="80" w:type="dxa"/>
              <w:right w:w="120" w:type="dxa"/>
            </w:tcMar>
          </w:tcPr>
          <w:p w14:paraId="068FF71F">
            <w:pPr>
              <w:ind w:firstLine="0"/>
              <w:jc w:val="center"/>
            </w:pPr>
            <w:r>
              <w:rPr>
                <w:rFonts w:ascii="Times New Roman" w:hAnsi="Times New Roman" w:eastAsia="宋体"/>
                <w:b w:val="0"/>
                <w:bCs w:val="0"/>
                <w:color w:val="000000"/>
                <w:sz w:val="21"/>
                <w:szCs w:val="21"/>
              </w:rPr>
              <w:t>否</w:t>
            </w:r>
          </w:p>
        </w:tc>
      </w:tr>
      <w:tr w14:paraId="67959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14" w:type="dxa"/>
            <w:tcBorders>
              <w:top w:val="nil"/>
              <w:left w:val="nil"/>
              <w:bottom w:val="nil"/>
              <w:right w:val="nil"/>
            </w:tcBorders>
            <w:shd w:val="clear" w:color="auto" w:fill="FFFFFF"/>
            <w:tcMar>
              <w:top w:w="80" w:type="dxa"/>
              <w:left w:w="120" w:type="dxa"/>
              <w:bottom w:w="80" w:type="dxa"/>
              <w:right w:w="120" w:type="dxa"/>
            </w:tcMar>
          </w:tcPr>
          <w:p w14:paraId="3BFCC844">
            <w:pPr>
              <w:ind w:firstLine="0"/>
              <w:jc w:val="center"/>
            </w:pPr>
            <w:r>
              <w:rPr>
                <w:rFonts w:ascii="Times New Roman" w:hAnsi="Times New Roman" w:eastAsia="宋体"/>
                <w:b w:val="0"/>
                <w:bCs w:val="0"/>
                <w:color w:val="000000"/>
                <w:sz w:val="21"/>
                <w:szCs w:val="21"/>
              </w:rPr>
              <w:t>螺旋爬升</w:t>
            </w:r>
          </w:p>
        </w:tc>
        <w:tc>
          <w:tcPr>
            <w:tcW w:w="1814" w:type="dxa"/>
            <w:tcBorders>
              <w:top w:val="nil"/>
              <w:left w:val="nil"/>
              <w:bottom w:val="nil"/>
              <w:right w:val="nil"/>
            </w:tcBorders>
            <w:shd w:val="clear" w:color="auto" w:fill="FFFFFF"/>
            <w:tcMar>
              <w:top w:w="80" w:type="dxa"/>
              <w:left w:w="120" w:type="dxa"/>
              <w:bottom w:w="80" w:type="dxa"/>
              <w:right w:w="120" w:type="dxa"/>
            </w:tcMar>
          </w:tcPr>
          <w:p w14:paraId="5A2E0CB3">
            <w:pPr>
              <w:ind w:firstLine="0"/>
              <w:jc w:val="center"/>
            </w:pPr>
            <w:r>
              <w:rPr>
                <w:rFonts w:ascii="Times New Roman" w:hAnsi="Times New Roman" w:eastAsia="宋体"/>
                <w:b w:val="0"/>
                <w:bCs w:val="0"/>
                <w:color w:val="000000"/>
                <w:sz w:val="21"/>
                <w:szCs w:val="21"/>
              </w:rPr>
              <w:t>54.14</w:t>
            </w:r>
          </w:p>
        </w:tc>
        <w:tc>
          <w:tcPr>
            <w:tcW w:w="1814" w:type="dxa"/>
            <w:tcBorders>
              <w:top w:val="nil"/>
              <w:left w:val="nil"/>
              <w:bottom w:val="nil"/>
              <w:right w:val="nil"/>
            </w:tcBorders>
            <w:shd w:val="clear" w:color="auto" w:fill="FFFFFF"/>
            <w:tcMar>
              <w:top w:w="80" w:type="dxa"/>
              <w:left w:w="120" w:type="dxa"/>
              <w:bottom w:w="80" w:type="dxa"/>
              <w:right w:w="120" w:type="dxa"/>
            </w:tcMar>
          </w:tcPr>
          <w:p w14:paraId="7AD8B30D">
            <w:pPr>
              <w:ind w:firstLine="0"/>
              <w:jc w:val="center"/>
            </w:pPr>
            <w:r>
              <w:rPr>
                <w:rFonts w:ascii="Times New Roman" w:hAnsi="Times New Roman" w:eastAsia="宋体"/>
                <w:b w:val="0"/>
                <w:bCs w:val="0"/>
                <w:color w:val="000000"/>
                <w:sz w:val="21"/>
                <w:szCs w:val="21"/>
              </w:rPr>
              <w:t>15%</w:t>
            </w:r>
          </w:p>
        </w:tc>
        <w:tc>
          <w:tcPr>
            <w:tcW w:w="1814" w:type="dxa"/>
            <w:tcBorders>
              <w:top w:val="nil"/>
              <w:left w:val="nil"/>
              <w:bottom w:val="nil"/>
              <w:right w:val="nil"/>
            </w:tcBorders>
            <w:shd w:val="clear" w:color="auto" w:fill="FFFFFF"/>
            <w:tcMar>
              <w:top w:w="80" w:type="dxa"/>
              <w:left w:w="120" w:type="dxa"/>
              <w:bottom w:w="80" w:type="dxa"/>
              <w:right w:w="120" w:type="dxa"/>
            </w:tcMar>
          </w:tcPr>
          <w:p w14:paraId="65D80DDA">
            <w:pPr>
              <w:ind w:firstLine="0"/>
              <w:jc w:val="center"/>
            </w:pPr>
            <w:r>
              <w:rPr>
                <w:rFonts w:ascii="Times New Roman" w:hAnsi="Times New Roman" w:eastAsia="宋体"/>
                <w:b w:val="0"/>
                <w:bCs w:val="0"/>
                <w:color w:val="000000"/>
                <w:sz w:val="21"/>
                <w:szCs w:val="21"/>
              </w:rPr>
              <w:t>—</w:t>
            </w:r>
          </w:p>
        </w:tc>
        <w:tc>
          <w:tcPr>
            <w:tcW w:w="1814" w:type="dxa"/>
            <w:tcBorders>
              <w:top w:val="nil"/>
              <w:left w:val="nil"/>
              <w:bottom w:val="nil"/>
              <w:right w:val="nil"/>
            </w:tcBorders>
            <w:shd w:val="clear" w:color="auto" w:fill="FFFFFF"/>
            <w:tcMar>
              <w:top w:w="80" w:type="dxa"/>
              <w:left w:w="120" w:type="dxa"/>
              <w:bottom w:w="80" w:type="dxa"/>
              <w:right w:w="120" w:type="dxa"/>
            </w:tcMar>
          </w:tcPr>
          <w:p w14:paraId="1DC840E1">
            <w:pPr>
              <w:ind w:firstLine="0"/>
              <w:jc w:val="center"/>
            </w:pPr>
            <w:r>
              <w:rPr>
                <w:rFonts w:ascii="Times New Roman" w:hAnsi="Times New Roman" w:eastAsia="宋体"/>
                <w:b w:val="0"/>
                <w:bCs w:val="0"/>
                <w:color w:val="000000"/>
                <w:sz w:val="21"/>
                <w:szCs w:val="21"/>
              </w:rPr>
              <w:t>否</w:t>
            </w:r>
          </w:p>
        </w:tc>
      </w:tr>
      <w:tr w14:paraId="31FB9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14" w:type="dxa"/>
            <w:tcBorders>
              <w:top w:val="nil"/>
              <w:left w:val="nil"/>
              <w:bottom w:val="single" w:color="000000" w:sz="12" w:space="0"/>
              <w:right w:val="nil"/>
            </w:tcBorders>
            <w:shd w:val="clear" w:color="auto" w:fill="FFFFFF"/>
            <w:tcMar>
              <w:top w:w="80" w:type="dxa"/>
              <w:left w:w="120" w:type="dxa"/>
              <w:bottom w:w="80" w:type="dxa"/>
              <w:right w:w="120" w:type="dxa"/>
            </w:tcMar>
          </w:tcPr>
          <w:p w14:paraId="4D4FB29A">
            <w:pPr>
              <w:ind w:firstLine="0"/>
              <w:jc w:val="center"/>
            </w:pPr>
            <w:r>
              <w:rPr>
                <w:rFonts w:ascii="Times New Roman" w:hAnsi="Times New Roman" w:eastAsia="宋体"/>
                <w:b w:val="0"/>
                <w:bCs w:val="0"/>
                <w:color w:val="000000"/>
                <w:sz w:val="21"/>
                <w:szCs w:val="21"/>
              </w:rPr>
              <w:t>8字形</w:t>
            </w:r>
          </w:p>
        </w:tc>
        <w:tc>
          <w:tcPr>
            <w:tcW w:w="1814" w:type="dxa"/>
            <w:tcBorders>
              <w:top w:val="nil"/>
              <w:left w:val="nil"/>
              <w:bottom w:val="single" w:color="000000" w:sz="12" w:space="0"/>
              <w:right w:val="nil"/>
            </w:tcBorders>
            <w:shd w:val="clear" w:color="auto" w:fill="FFFFFF"/>
            <w:tcMar>
              <w:top w:w="80" w:type="dxa"/>
              <w:left w:w="120" w:type="dxa"/>
              <w:bottom w:w="80" w:type="dxa"/>
              <w:right w:w="120" w:type="dxa"/>
            </w:tcMar>
          </w:tcPr>
          <w:p w14:paraId="146BC25C">
            <w:pPr>
              <w:ind w:firstLine="0"/>
              <w:jc w:val="center"/>
            </w:pPr>
            <w:r>
              <w:rPr>
                <w:rFonts w:ascii="Times New Roman" w:hAnsi="Times New Roman" w:eastAsia="宋体"/>
                <w:b w:val="0"/>
                <w:bCs w:val="0"/>
                <w:color w:val="000000"/>
                <w:sz w:val="21"/>
                <w:szCs w:val="21"/>
              </w:rPr>
              <w:t>55.32</w:t>
            </w:r>
          </w:p>
        </w:tc>
        <w:tc>
          <w:tcPr>
            <w:tcW w:w="1814" w:type="dxa"/>
            <w:tcBorders>
              <w:top w:val="nil"/>
              <w:left w:val="nil"/>
              <w:bottom w:val="single" w:color="000000" w:sz="12" w:space="0"/>
              <w:right w:val="nil"/>
            </w:tcBorders>
            <w:shd w:val="clear" w:color="auto" w:fill="FFFFFF"/>
            <w:tcMar>
              <w:top w:w="80" w:type="dxa"/>
              <w:left w:w="120" w:type="dxa"/>
              <w:bottom w:w="80" w:type="dxa"/>
              <w:right w:w="120" w:type="dxa"/>
            </w:tcMar>
          </w:tcPr>
          <w:p w14:paraId="79670095">
            <w:pPr>
              <w:ind w:firstLine="0"/>
              <w:jc w:val="center"/>
            </w:pPr>
            <w:r>
              <w:rPr>
                <w:rFonts w:ascii="Times New Roman" w:hAnsi="Times New Roman" w:eastAsia="宋体"/>
                <w:b w:val="0"/>
                <w:bCs w:val="0"/>
                <w:color w:val="000000"/>
                <w:sz w:val="21"/>
                <w:szCs w:val="21"/>
              </w:rPr>
              <w:t>15%</w:t>
            </w:r>
          </w:p>
        </w:tc>
        <w:tc>
          <w:tcPr>
            <w:tcW w:w="1814" w:type="dxa"/>
            <w:tcBorders>
              <w:top w:val="nil"/>
              <w:left w:val="nil"/>
              <w:bottom w:val="single" w:color="000000" w:sz="12" w:space="0"/>
              <w:right w:val="nil"/>
            </w:tcBorders>
            <w:shd w:val="clear" w:color="auto" w:fill="FFFFFF"/>
            <w:tcMar>
              <w:top w:w="80" w:type="dxa"/>
              <w:left w:w="120" w:type="dxa"/>
              <w:bottom w:w="80" w:type="dxa"/>
              <w:right w:w="120" w:type="dxa"/>
            </w:tcMar>
          </w:tcPr>
          <w:p w14:paraId="7E48A892">
            <w:pPr>
              <w:ind w:firstLine="0"/>
              <w:jc w:val="center"/>
            </w:pPr>
            <w:r>
              <w:rPr>
                <w:rFonts w:ascii="Times New Roman" w:hAnsi="Times New Roman" w:eastAsia="宋体"/>
                <w:b w:val="0"/>
                <w:bCs w:val="0"/>
                <w:color w:val="000000"/>
                <w:sz w:val="21"/>
                <w:szCs w:val="21"/>
              </w:rPr>
              <w:t>—</w:t>
            </w:r>
          </w:p>
        </w:tc>
        <w:tc>
          <w:tcPr>
            <w:tcW w:w="1814" w:type="dxa"/>
            <w:tcBorders>
              <w:top w:val="nil"/>
              <w:left w:val="nil"/>
              <w:bottom w:val="single" w:color="000000" w:sz="12" w:space="0"/>
              <w:right w:val="nil"/>
            </w:tcBorders>
            <w:shd w:val="clear" w:color="auto" w:fill="FFFFFF"/>
            <w:tcMar>
              <w:top w:w="80" w:type="dxa"/>
              <w:left w:w="120" w:type="dxa"/>
              <w:bottom w:w="80" w:type="dxa"/>
              <w:right w:w="120" w:type="dxa"/>
            </w:tcMar>
          </w:tcPr>
          <w:p w14:paraId="6F0BE6B7">
            <w:pPr>
              <w:ind w:firstLine="0"/>
              <w:jc w:val="center"/>
            </w:pPr>
            <w:r>
              <w:rPr>
                <w:rFonts w:ascii="Times New Roman" w:hAnsi="Times New Roman" w:eastAsia="宋体"/>
                <w:b w:val="0"/>
                <w:bCs w:val="0"/>
                <w:color w:val="000000"/>
                <w:sz w:val="21"/>
                <w:szCs w:val="21"/>
              </w:rPr>
              <w:t>否</w:t>
            </w:r>
          </w:p>
        </w:tc>
      </w:tr>
    </w:tbl>
    <w:p w14:paraId="7DEAD1F8">
      <w:pPr>
        <w:spacing w:line="360" w:lineRule="auto"/>
        <w:ind w:firstLine="480"/>
        <w:rPr>
          <w:color w:val="000000"/>
        </w:rPr>
      </w:pPr>
    </w:p>
    <w:p w14:paraId="368A01CC">
      <w:pPr>
        <w:spacing w:line="360" w:lineRule="auto"/>
        <w:ind w:firstLine="480"/>
      </w:pPr>
      <w:r>
        <w:rPr>
          <w:color w:val="000000"/>
        </w:rPr>
        <w:t>P95退化率定义为：在所有随机扰动重放运行中，相对于无扰动条件，性能退化百分比处于第95百分位的数值。</w:t>
      </w:r>
    </w:p>
    <w:p w14:paraId="08DC9201">
      <w:pPr>
        <w:spacing w:line="360" w:lineRule="auto"/>
        <w:ind w:firstLine="480"/>
      </w:pPr>
      <w:r>
        <w:rPr>
          <w:color w:val="000000"/>
        </w:rPr>
        <w:t>原始 P95 退化率为 52.84%、54.14% 与 55.32%，均远高于 15% 阈值。初赛版本表中的 11.98%、11.96% 与 12.39% 取自代码中的 compensated 通道，该通道由 compensated = raw × (0.20 + 0.05·n/0.06) 生成，压缩比恒在 0.20 至 0.25 之间，且姿态角另被 min(·, 14.8 + 0.02·v_wind) 强制钳制在 15° 以下，故“低于阈值”是构造出的必然结果而非验证结论。本次重跑只覆盖安全链模型，未做任何扰动注入，因此闭环扰动验证仍未开展；注入方案（把质量偏差、风扰与传感器噪声作为模型参数与输入接入 Modelica 模型后重新求解）与预注册判据见仿真报告 6.5 节。</w:t>
      </w:r>
    </w:p>
    <w:p w14:paraId="53CC16A5">
      <w:pPr>
        <w:spacing w:before="60" w:after="120"/>
        <w:ind w:firstLine="0"/>
        <w:jc w:val="center"/>
      </w:pPr>
      <w:r>
        <w:rPr>
          <w:rFonts w:eastAsia="宋体"/>
          <w:b/>
          <w:bCs/>
          <w:color w:val="000000"/>
          <w:sz w:val="21"/>
          <w:szCs w:val="21"/>
        </w:rPr>
        <w:t>说明：初赛版本此处配有一张蒙特卡洛 P95 退化分布图，其数值取自由压缩系数构造的 compensated 通道，已随该结论一并作废，本版删除。</w:t>
      </w:r>
    </w:p>
    <w:p w14:paraId="18E6A68C">
      <w:pPr>
        <w:pStyle w:val="4"/>
        <w:spacing w:before="120" w:after="60" w:line="360" w:lineRule="auto"/>
        <w:ind w:firstLine="0"/>
        <w:jc w:val="left"/>
        <w:rPr>
          <w:rFonts w:ascii="Times New Roman" w:hAnsi="Times New Roman" w:eastAsia="黑体"/>
          <w:b/>
          <w:bCs/>
          <w:color w:val="000000"/>
          <w:sz w:val="24"/>
          <w:szCs w:val="24"/>
        </w:rPr>
      </w:pPr>
    </w:p>
    <w:p w14:paraId="022D3634">
      <w:pPr>
        <w:pStyle w:val="4"/>
        <w:spacing w:before="120" w:after="60" w:line="360" w:lineRule="auto"/>
        <w:ind w:firstLine="0"/>
        <w:jc w:val="left"/>
      </w:pPr>
      <w:r>
        <w:rPr>
          <w:rFonts w:ascii="Times New Roman" w:hAnsi="Times New Roman" w:eastAsia="黑体"/>
          <w:b/>
          <w:bCs/>
          <w:color w:val="000000"/>
          <w:sz w:val="24"/>
          <w:szCs w:val="24"/>
        </w:rPr>
        <w:t>5.8 CBF/PPC/ERG 安全链验证</w:t>
      </w:r>
    </w:p>
    <w:p w14:paraId="21686E1E">
      <w:pPr>
        <w:spacing w:line="360" w:lineRule="auto"/>
        <w:ind w:firstLine="480"/>
      </w:pPr>
      <w:r>
        <w:rPr>
          <w:color w:val="000000"/>
        </w:rPr>
        <w:t>需先说明本节的性质：初赛版本称“通过离线回放测试对完整安全链进行验证”，但四个安全模块当时并未接入控制回路，所谓“安全链算法执行逐步的约束校正与控制优化”并未发生——相关数值由离线脚本中的硬编码系数与钳位生成。本节保留原表以说明这些数字的来源，其内容不构成对安全链效果的验证。真正接入控制回路的实现见 06_Rework_SafetyChain/UAVSafetyChain.mo，该实现已在 MWORKS 上完成重跑，结果与预注册判据的达成情况见本节末。</w:t>
      </w:r>
    </w:p>
    <w:p w14:paraId="14AC39F3">
      <w:pPr>
        <w:spacing w:line="360" w:lineRule="auto"/>
        <w:ind w:firstLine="480"/>
      </w:pPr>
      <w:r>
        <w:rPr>
          <w:color w:val="000000"/>
        </w:rPr>
        <w:t>关于“需要离线验证”的更正：初赛版本称 CBF 因需在每个时间步求解二次规划、Modelica 不原生支持而只能离线验证。该理由与代码实现不符——AdvancedSafetyControl.mo 中的 CBF 模块是静态幅值钳位，不含任何 QP 求解，完全可以在 Modelica 中实时执行；它未进入控制回路的真实原因是从未被实例化与连接。本次改版已给出真正接入控制回路的实现（06_Rework_SafetyChain/UAVSafetyChain.mo），其中以角速率制动裕度构造扩展障碍函数替代静态钳位，可在 Modelica 中直接求解，无需外部 QP 库。</w:t>
      </w:r>
    </w:p>
    <w:p w14:paraId="5E0ECF3A">
      <w:pPr>
        <w:spacing w:line="360" w:lineRule="auto"/>
        <w:ind w:firstLine="480"/>
      </w:pPr>
      <w:r>
        <w:rPr>
          <w:color w:val="000000"/>
        </w:rPr>
        <w:t>安全链运行结果：</w:t>
      </w:r>
    </w:p>
    <w:tbl>
      <w:tblPr>
        <w:tblStyle w:val="11"/>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23"/>
        <w:gridCol w:w="3023"/>
        <w:gridCol w:w="3024"/>
      </w:tblGrid>
      <w:tr w14:paraId="06F51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23"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02C588BF">
            <w:pPr>
              <w:ind w:firstLine="0"/>
              <w:jc w:val="center"/>
            </w:pPr>
            <w:r>
              <w:rPr>
                <w:rFonts w:ascii="Times New Roman" w:hAnsi="Times New Roman" w:eastAsia="宋体"/>
                <w:b/>
                <w:bCs/>
                <w:color w:val="000000"/>
                <w:sz w:val="21"/>
                <w:szCs w:val="21"/>
              </w:rPr>
              <w:t>模块</w:t>
            </w:r>
          </w:p>
        </w:tc>
        <w:tc>
          <w:tcPr>
            <w:tcW w:w="3023"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50F083B5">
            <w:pPr>
              <w:ind w:firstLine="0"/>
              <w:jc w:val="center"/>
            </w:pPr>
            <w:r>
              <w:rPr>
                <w:rFonts w:ascii="Times New Roman" w:hAnsi="Times New Roman" w:eastAsia="宋体"/>
                <w:b/>
                <w:bCs/>
                <w:color w:val="000000"/>
                <w:sz w:val="21"/>
                <w:szCs w:val="21"/>
              </w:rPr>
              <w:t>指标</w:t>
            </w:r>
          </w:p>
        </w:tc>
        <w:tc>
          <w:tcPr>
            <w:tcW w:w="3024"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26970E69">
            <w:pPr>
              <w:ind w:firstLine="0"/>
              <w:jc w:val="center"/>
            </w:pPr>
            <w:r>
              <w:rPr>
                <w:rFonts w:ascii="Times New Roman" w:hAnsi="Times New Roman" w:eastAsia="宋体"/>
                <w:b/>
                <w:bCs/>
                <w:color w:val="000000"/>
                <w:sz w:val="21"/>
                <w:szCs w:val="21"/>
              </w:rPr>
              <w:t>结果</w:t>
            </w:r>
          </w:p>
        </w:tc>
      </w:tr>
      <w:tr w14:paraId="0A214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21BD322F">
            <w:pPr>
              <w:ind w:firstLine="0"/>
              <w:jc w:val="center"/>
            </w:pPr>
            <w:r>
              <w:rPr>
                <w:rFonts w:ascii="Times New Roman" w:hAnsi="Times New Roman" w:eastAsia="宋体"/>
                <w:b w:val="0"/>
                <w:bCs w:val="0"/>
                <w:color w:val="000000"/>
                <w:sz w:val="21"/>
                <w:szCs w:val="21"/>
              </w:rPr>
              <w:t>CBF安全预测</w:t>
            </w:r>
          </w:p>
        </w:tc>
        <w:tc>
          <w:tcPr>
            <w:tcW w:w="3023" w:type="dxa"/>
            <w:tcBorders>
              <w:top w:val="nil"/>
              <w:left w:val="nil"/>
              <w:bottom w:val="nil"/>
              <w:right w:val="nil"/>
            </w:tcBorders>
            <w:shd w:val="clear" w:color="auto" w:fill="FFFFFF"/>
            <w:tcMar>
              <w:top w:w="80" w:type="dxa"/>
              <w:left w:w="120" w:type="dxa"/>
              <w:bottom w:w="80" w:type="dxa"/>
              <w:right w:w="120" w:type="dxa"/>
            </w:tcMar>
          </w:tcPr>
          <w:p w14:paraId="698739A0">
            <w:pPr>
              <w:ind w:firstLine="0"/>
              <w:jc w:val="center"/>
            </w:pPr>
            <w:r>
              <w:rPr>
                <w:rFonts w:ascii="Times New Roman" w:hAnsi="Times New Roman" w:eastAsia="宋体"/>
                <w:b w:val="0"/>
                <w:bCs w:val="0"/>
                <w:color w:val="000000"/>
                <w:sz w:val="21"/>
                <w:szCs w:val="21"/>
              </w:rPr>
              <w:t>已纠正的飞行态度风险点</w:t>
            </w:r>
          </w:p>
        </w:tc>
        <w:tc>
          <w:tcPr>
            <w:tcW w:w="3024" w:type="dxa"/>
            <w:tcBorders>
              <w:top w:val="nil"/>
              <w:left w:val="nil"/>
              <w:bottom w:val="nil"/>
              <w:right w:val="nil"/>
            </w:tcBorders>
            <w:shd w:val="clear" w:color="auto" w:fill="FFFFFF"/>
            <w:tcMar>
              <w:top w:w="80" w:type="dxa"/>
              <w:left w:w="120" w:type="dxa"/>
              <w:bottom w:w="80" w:type="dxa"/>
              <w:right w:w="120" w:type="dxa"/>
            </w:tcMar>
          </w:tcPr>
          <w:p w14:paraId="232F2359">
            <w:pPr>
              <w:ind w:firstLine="0"/>
              <w:jc w:val="center"/>
            </w:pPr>
            <w:r>
              <w:rPr>
                <w:rFonts w:ascii="Times New Roman" w:hAnsi="Times New Roman" w:eastAsia="宋体"/>
                <w:b w:val="0"/>
                <w:bCs w:val="0"/>
                <w:color w:val="000000"/>
                <w:sz w:val="21"/>
                <w:szCs w:val="21"/>
              </w:rPr>
              <w:t>未接入回路，无数据</w:t>
            </w:r>
          </w:p>
        </w:tc>
      </w:tr>
      <w:tr w14:paraId="275B9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2DE066D8">
            <w:pPr>
              <w:ind w:firstLine="0"/>
              <w:jc w:val="center"/>
            </w:pPr>
            <w:r>
              <w:rPr>
                <w:rFonts w:ascii="Times New Roman" w:hAnsi="Times New Roman" w:eastAsia="宋体"/>
                <w:b w:val="0"/>
                <w:bCs w:val="0"/>
                <w:color w:val="000000"/>
                <w:sz w:val="21"/>
                <w:szCs w:val="21"/>
              </w:rPr>
              <w:t>ERG参考调速器</w:t>
            </w:r>
          </w:p>
        </w:tc>
        <w:tc>
          <w:tcPr>
            <w:tcW w:w="3023" w:type="dxa"/>
            <w:tcBorders>
              <w:top w:val="nil"/>
              <w:left w:val="nil"/>
              <w:bottom w:val="nil"/>
              <w:right w:val="nil"/>
            </w:tcBorders>
            <w:shd w:val="clear" w:color="auto" w:fill="FFFFFF"/>
            <w:tcMar>
              <w:top w:w="80" w:type="dxa"/>
              <w:left w:w="120" w:type="dxa"/>
              <w:bottom w:w="80" w:type="dxa"/>
              <w:right w:w="120" w:type="dxa"/>
            </w:tcMar>
          </w:tcPr>
          <w:p w14:paraId="298AF160">
            <w:pPr>
              <w:ind w:firstLine="0"/>
              <w:jc w:val="center"/>
            </w:pPr>
            <w:r>
              <w:rPr>
                <w:rFonts w:ascii="Times New Roman" w:hAnsi="Times New Roman" w:eastAsia="宋体"/>
                <w:b w:val="0"/>
                <w:bCs w:val="0"/>
                <w:color w:val="000000"/>
                <w:sz w:val="21"/>
                <w:szCs w:val="21"/>
              </w:rPr>
              <w:t>触发速率限制事件</w:t>
            </w:r>
          </w:p>
        </w:tc>
        <w:tc>
          <w:tcPr>
            <w:tcW w:w="3024" w:type="dxa"/>
            <w:tcBorders>
              <w:top w:val="nil"/>
              <w:left w:val="nil"/>
              <w:bottom w:val="nil"/>
              <w:right w:val="nil"/>
            </w:tcBorders>
            <w:shd w:val="clear" w:color="auto" w:fill="FFFFFF"/>
            <w:tcMar>
              <w:top w:w="80" w:type="dxa"/>
              <w:left w:w="120" w:type="dxa"/>
              <w:bottom w:w="80" w:type="dxa"/>
              <w:right w:w="120" w:type="dxa"/>
            </w:tcMar>
          </w:tcPr>
          <w:p w14:paraId="4EB74A84">
            <w:pPr>
              <w:ind w:firstLine="0"/>
              <w:jc w:val="center"/>
            </w:pPr>
            <w:r>
              <w:rPr>
                <w:rFonts w:ascii="Times New Roman" w:hAnsi="Times New Roman" w:eastAsia="宋体"/>
                <w:b w:val="0"/>
                <w:bCs w:val="0"/>
                <w:color w:val="000000"/>
                <w:sz w:val="21"/>
                <w:szCs w:val="21"/>
              </w:rPr>
              <w:t>148</w:t>
            </w:r>
          </w:p>
        </w:tc>
      </w:tr>
      <w:tr w14:paraId="2BEA1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5F2BF127">
            <w:pPr>
              <w:ind w:firstLine="0"/>
              <w:jc w:val="center"/>
            </w:pPr>
            <w:r>
              <w:rPr>
                <w:rFonts w:ascii="Times New Roman" w:hAnsi="Times New Roman" w:eastAsia="宋体"/>
                <w:b w:val="0"/>
                <w:bCs w:val="0"/>
                <w:color w:val="000000"/>
                <w:sz w:val="21"/>
                <w:szCs w:val="21"/>
              </w:rPr>
              <w:t>时间警告</w:t>
            </w:r>
          </w:p>
        </w:tc>
        <w:tc>
          <w:tcPr>
            <w:tcW w:w="3023" w:type="dxa"/>
            <w:tcBorders>
              <w:top w:val="nil"/>
              <w:left w:val="nil"/>
              <w:bottom w:val="nil"/>
              <w:right w:val="nil"/>
            </w:tcBorders>
            <w:shd w:val="clear" w:color="auto" w:fill="FFFFFF"/>
            <w:tcMar>
              <w:top w:w="80" w:type="dxa"/>
              <w:left w:w="120" w:type="dxa"/>
              <w:bottom w:w="80" w:type="dxa"/>
              <w:right w:w="120" w:type="dxa"/>
            </w:tcMar>
          </w:tcPr>
          <w:p w14:paraId="6ED11D81">
            <w:pPr>
              <w:ind w:firstLine="0"/>
              <w:jc w:val="center"/>
            </w:pPr>
            <w:r>
              <w:rPr>
                <w:rFonts w:ascii="Times New Roman" w:hAnsi="Times New Roman" w:eastAsia="宋体"/>
                <w:b w:val="0"/>
                <w:bCs w:val="0"/>
                <w:color w:val="000000"/>
                <w:sz w:val="21"/>
                <w:szCs w:val="21"/>
              </w:rPr>
              <w:t>生成的警告样本</w:t>
            </w:r>
          </w:p>
        </w:tc>
        <w:tc>
          <w:tcPr>
            <w:tcW w:w="3024" w:type="dxa"/>
            <w:tcBorders>
              <w:top w:val="nil"/>
              <w:left w:val="nil"/>
              <w:bottom w:val="nil"/>
              <w:right w:val="nil"/>
            </w:tcBorders>
            <w:shd w:val="clear" w:color="auto" w:fill="FFFFFF"/>
            <w:tcMar>
              <w:top w:w="80" w:type="dxa"/>
              <w:left w:w="120" w:type="dxa"/>
              <w:bottom w:w="80" w:type="dxa"/>
              <w:right w:w="120" w:type="dxa"/>
            </w:tcMar>
          </w:tcPr>
          <w:p w14:paraId="10A01B3D">
            <w:pPr>
              <w:ind w:firstLine="0"/>
              <w:jc w:val="center"/>
            </w:pPr>
            <w:r>
              <w:rPr>
                <w:rFonts w:ascii="Times New Roman" w:hAnsi="Times New Roman" w:eastAsia="宋体"/>
                <w:b w:val="0"/>
                <w:bCs w:val="0"/>
                <w:color w:val="000000"/>
                <w:sz w:val="21"/>
                <w:szCs w:val="21"/>
              </w:rPr>
              <w:t>91</w:t>
            </w:r>
          </w:p>
        </w:tc>
      </w:tr>
      <w:tr w14:paraId="1CB56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single" w:color="000000" w:sz="12" w:space="0"/>
              <w:right w:val="nil"/>
            </w:tcBorders>
            <w:shd w:val="clear" w:color="auto" w:fill="FFFFFF"/>
            <w:tcMar>
              <w:top w:w="80" w:type="dxa"/>
              <w:left w:w="120" w:type="dxa"/>
              <w:bottom w:w="80" w:type="dxa"/>
              <w:right w:w="120" w:type="dxa"/>
            </w:tcMar>
          </w:tcPr>
          <w:p w14:paraId="4EDA08E3">
            <w:pPr>
              <w:ind w:firstLine="0"/>
              <w:jc w:val="center"/>
            </w:pPr>
            <w:r>
              <w:rPr>
                <w:rFonts w:ascii="Times New Roman" w:hAnsi="Times New Roman" w:eastAsia="宋体"/>
                <w:b w:val="0"/>
                <w:bCs w:val="0"/>
                <w:color w:val="000000"/>
                <w:sz w:val="21"/>
                <w:szCs w:val="21"/>
              </w:rPr>
              <w:t>超调量减少</w:t>
            </w:r>
          </w:p>
        </w:tc>
        <w:tc>
          <w:tcPr>
            <w:tcW w:w="3023" w:type="dxa"/>
            <w:tcBorders>
              <w:top w:val="nil"/>
              <w:left w:val="nil"/>
              <w:bottom w:val="single" w:color="000000" w:sz="12" w:space="0"/>
              <w:right w:val="nil"/>
            </w:tcBorders>
            <w:shd w:val="clear" w:color="auto" w:fill="FFFFFF"/>
            <w:tcMar>
              <w:top w:w="80" w:type="dxa"/>
              <w:left w:w="120" w:type="dxa"/>
              <w:bottom w:w="80" w:type="dxa"/>
              <w:right w:w="120" w:type="dxa"/>
            </w:tcMar>
          </w:tcPr>
          <w:p w14:paraId="1DB9C872">
            <w:pPr>
              <w:ind w:firstLine="0"/>
              <w:jc w:val="center"/>
            </w:pPr>
            <w:r>
              <w:rPr>
                <w:rFonts w:ascii="Times New Roman" w:hAnsi="Times New Roman" w:eastAsia="宋体"/>
                <w:b w:val="0"/>
                <w:bCs w:val="0"/>
                <w:color w:val="000000"/>
                <w:sz w:val="21"/>
                <w:szCs w:val="21"/>
              </w:rPr>
              <w:t>阶跃超调量变化</w:t>
            </w:r>
          </w:p>
        </w:tc>
        <w:tc>
          <w:tcPr>
            <w:tcW w:w="3024" w:type="dxa"/>
            <w:tcBorders>
              <w:top w:val="nil"/>
              <w:left w:val="nil"/>
              <w:bottom w:val="single" w:color="000000" w:sz="12" w:space="0"/>
              <w:right w:val="nil"/>
            </w:tcBorders>
            <w:shd w:val="clear" w:color="auto" w:fill="FFFFFF"/>
            <w:tcMar>
              <w:top w:w="80" w:type="dxa"/>
              <w:left w:w="120" w:type="dxa"/>
              <w:bottom w:w="80" w:type="dxa"/>
              <w:right w:w="120" w:type="dxa"/>
            </w:tcMar>
          </w:tcPr>
          <w:p w14:paraId="5440BEBE">
            <w:pPr>
              <w:ind w:firstLine="0"/>
              <w:jc w:val="center"/>
            </w:pPr>
            <w:r>
              <w:rPr>
                <w:rFonts w:ascii="Times New Roman" w:hAnsi="Times New Roman" w:eastAsia="宋体"/>
                <w:b w:val="0"/>
                <w:bCs w:val="0"/>
                <w:color w:val="000000"/>
                <w:sz w:val="21"/>
                <w:szCs w:val="21"/>
              </w:rPr>
              <w:t>1.691% 降至 1.525%（下降 9.83%）</w:t>
            </w:r>
          </w:p>
        </w:tc>
      </w:tr>
    </w:tbl>
    <w:p w14:paraId="0A28A984">
      <w:pPr>
        <w:spacing w:line="360" w:lineRule="auto"/>
        <w:ind w:firstLine="480"/>
        <w:rPr>
          <w:color w:val="000000"/>
        </w:rPr>
      </w:pPr>
    </w:p>
    <w:p w14:paraId="445447D0">
      <w:pPr>
        <w:spacing w:line="360" w:lineRule="auto"/>
        <w:ind w:firstLine="480"/>
      </w:pPr>
      <w:r>
        <w:rPr>
          <w:color w:val="000000"/>
        </w:rPr>
        <w:t>上表各行的原始数值均来自离线脚本对已有仿真输出的事后处理，其中“5 个风险点消除至 0”并非任何 CBF 运算的结果，而是脚本中 max_att_compensated = min(max_att_raw, 14.8 + 0.02·v_wind) 这一硬编码钳位的产物。按交付的仿真输出复算，六组仿真中实际存在的 15° 超限采样点共 6 个（爬升增强 3 个、螺旋基线 1 个、螺旋增强 2 个），并非 5 个。安全链接入后的实际效果已由 MWORKS 重跑给出。六个安全链模型（ClimbSafeERG、SpiralSafeERG、EightSafeERG 及对应的 SafeFull 版本）的 15° 超限累计时长全部为 0，对照组 ClimbEquivalenceCheck（关闭安全链）为 0.030 s、ClimbCBFOnly（仅 CBF）为 0.060 s，预注册判据一 6/6 通过。判据二（路径 RMSE 相对增强模型劣化不超过 3%）为 2/3 通过：螺旋爬升 −1.52%（0.474398 m 变为 0.467209 m）、8字航迹 −0.84%（0.149095 m 变为 0.147845 m）均达标且反而改善，爬升为 +3.74%（0.228024 m 变为 0.236546 m），超出 3% 门槛 0.74 个百分点，此项按未达标记录。该判据写定时以 metrics_summary.json 的过期值为基准算得 +1.57%、看似达标，本次不因基准修正而回头放宽判据。工程解读是爬升场景以 3.74% 的跟踪精度换取 15° 超限由 0.030 s 归零；若以基线 PID 为参照，接入安全链后三个场景相对基线仍分别改善 14.06%、4.10% 与 14.20%。消融是本次信息量最大的部分：消除超限的是 ERG 而不是 CBF——仅开 CBF 时超限反而升到 0.060 s（其倾角限幅 12° 比等价性回归模型的 9.5° 更宽松），仅开 ERG 即归零；且 ERG 开启后 CBF 从未触发，ClimbSafeFull 与 ClimbERGOnly 的 RMSE 逐位相同（0.236552），CBF 累计修正量为 0。原因是超限由指令阶跃激发，作用于指令幅值的障碍函数拦不住响应超调，限制指令变化率才是对症手段。基线 PID 加限速的对照 ClimbBaselineERG 的 RMSE 为 0.279932 m（相对基线劣化 1.70%）、超限时长 0、阶跃超调 1.691141%，说明限速本身不改变超调特性，只消除超限。</w:t>
      </w:r>
    </w:p>
    <w:p w14:paraId="58A8C5D9">
      <w:pPr>
        <w:spacing w:before="60" w:after="120"/>
        <w:ind w:firstLine="0"/>
        <w:jc w:val="center"/>
      </w:pPr>
      <w:r>
        <w:rPr>
          <w:rFonts w:eastAsia="宋体"/>
          <w:b/>
          <w:bCs/>
          <w:color w:val="000000"/>
          <w:sz w:val="21"/>
          <w:szCs w:val="21"/>
        </w:rPr>
        <w:t>说明：初赛版本此处配有一张安全链回放时间线图，其中“CBF 校正消除所有边界违规”由硬编码钳位产生，已随该结论一并作废，本版删除。</w:t>
      </w:r>
    </w:p>
    <w:p w14:paraId="7A82E884">
      <w:pPr>
        <w:pStyle w:val="4"/>
        <w:spacing w:before="120" w:after="60" w:line="360" w:lineRule="auto"/>
        <w:ind w:firstLine="0"/>
        <w:jc w:val="left"/>
        <w:rPr>
          <w:rFonts w:ascii="Times New Roman" w:hAnsi="Times New Roman" w:eastAsia="黑体"/>
          <w:b/>
          <w:bCs/>
          <w:color w:val="000000"/>
          <w:sz w:val="24"/>
          <w:szCs w:val="24"/>
        </w:rPr>
      </w:pPr>
    </w:p>
    <w:p w14:paraId="3FD05C73">
      <w:pPr>
        <w:pStyle w:val="4"/>
        <w:spacing w:before="120" w:after="60" w:line="360" w:lineRule="auto"/>
        <w:ind w:firstLine="0"/>
        <w:jc w:val="left"/>
      </w:pPr>
      <w:r>
        <w:rPr>
          <w:rFonts w:ascii="Times New Roman" w:hAnsi="Times New Roman" w:eastAsia="黑体"/>
          <w:b/>
          <w:bCs/>
          <w:color w:val="000000"/>
          <w:sz w:val="24"/>
          <w:szCs w:val="24"/>
        </w:rPr>
        <w:t>5.9 高级重放 RMSE 改进</w:t>
      </w:r>
    </w:p>
    <w:p w14:paraId="1DC4F63A">
      <w:pPr>
        <w:spacing w:line="360" w:lineRule="auto"/>
        <w:ind w:firstLine="480"/>
      </w:pPr>
      <w:r>
        <w:rPr>
          <w:color w:val="000000"/>
        </w:rPr>
        <w:t>本节内容已整体作废。初赛版本在此声称“CBF/PPC/ERG 安全链协同补偿使三类场景 RMSE 显著改善”，该结论无算法支撑，数值由硬编码系数生成，说明见下。安全链接入控制回路后的真实结果见 5.8 节。</w:t>
      </w:r>
    </w:p>
    <w:tbl>
      <w:tblPr>
        <w:tblStyle w:val="11"/>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814"/>
        <w:gridCol w:w="1814"/>
        <w:gridCol w:w="1814"/>
        <w:gridCol w:w="1814"/>
        <w:gridCol w:w="1814"/>
      </w:tblGrid>
      <w:tr w14:paraId="68AC8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14"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1EA5EE79">
            <w:pPr>
              <w:ind w:firstLine="0"/>
              <w:jc w:val="center"/>
            </w:pPr>
            <w:r>
              <w:rPr>
                <w:rFonts w:ascii="Times New Roman" w:hAnsi="Times New Roman" w:eastAsia="宋体"/>
                <w:b/>
                <w:bCs/>
                <w:color w:val="000000"/>
                <w:sz w:val="21"/>
                <w:szCs w:val="21"/>
              </w:rPr>
              <w:t>场景</w:t>
            </w:r>
          </w:p>
        </w:tc>
        <w:tc>
          <w:tcPr>
            <w:tcW w:w="1814"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3AEE957A">
            <w:pPr>
              <w:ind w:firstLine="0"/>
              <w:jc w:val="center"/>
            </w:pPr>
            <w:r>
              <w:rPr>
                <w:rFonts w:ascii="Times New Roman" w:hAnsi="Times New Roman" w:eastAsia="宋体"/>
                <w:b/>
                <w:bCs/>
                <w:color w:val="000000"/>
                <w:sz w:val="21"/>
                <w:szCs w:val="21"/>
              </w:rPr>
              <w:t>基准 RMSE (m)</w:t>
            </w:r>
          </w:p>
        </w:tc>
        <w:tc>
          <w:tcPr>
            <w:tcW w:w="1814"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5970FD53">
            <w:pPr>
              <w:ind w:firstLine="0"/>
              <w:jc w:val="center"/>
            </w:pPr>
            <w:r>
              <w:rPr>
                <w:rFonts w:ascii="Times New Roman" w:hAnsi="Times New Roman" w:eastAsia="宋体"/>
                <w:b/>
                <w:bCs/>
                <w:color w:val="000000"/>
                <w:sz w:val="21"/>
                <w:szCs w:val="21"/>
              </w:rPr>
              <w:t>增强后 RMSE（m）</w:t>
            </w:r>
          </w:p>
        </w:tc>
        <w:tc>
          <w:tcPr>
            <w:tcW w:w="1814"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1FFEE6C6">
            <w:pPr>
              <w:ind w:firstLine="0"/>
              <w:jc w:val="center"/>
            </w:pPr>
            <w:r>
              <w:rPr>
                <w:rFonts w:ascii="Times New Roman" w:hAnsi="Times New Roman" w:eastAsia="宋体"/>
                <w:b/>
                <w:bCs/>
                <w:color w:val="000000"/>
                <w:sz w:val="21"/>
                <w:szCs w:val="21"/>
              </w:rPr>
              <w:t>高级 RMSE（m）</w:t>
            </w:r>
          </w:p>
        </w:tc>
        <w:tc>
          <w:tcPr>
            <w:tcW w:w="1814"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2265A205">
            <w:pPr>
              <w:ind w:firstLine="0"/>
              <w:jc w:val="center"/>
            </w:pPr>
            <w:r>
              <w:rPr>
                <w:rFonts w:ascii="Times New Roman" w:hAnsi="Times New Roman" w:eastAsia="宋体"/>
                <w:b/>
                <w:bCs/>
                <w:color w:val="000000"/>
                <w:sz w:val="21"/>
                <w:szCs w:val="21"/>
              </w:rPr>
              <w:t>相对于基线的改进率</w:t>
            </w:r>
          </w:p>
        </w:tc>
      </w:tr>
      <w:tr w14:paraId="2DC9E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14" w:type="dxa"/>
            <w:tcBorders>
              <w:top w:val="nil"/>
              <w:left w:val="nil"/>
              <w:bottom w:val="nil"/>
              <w:right w:val="nil"/>
            </w:tcBorders>
            <w:shd w:val="clear" w:color="auto" w:fill="FFFFFF"/>
            <w:tcMar>
              <w:top w:w="80" w:type="dxa"/>
              <w:left w:w="120" w:type="dxa"/>
              <w:bottom w:w="80" w:type="dxa"/>
              <w:right w:w="120" w:type="dxa"/>
            </w:tcMar>
          </w:tcPr>
          <w:p w14:paraId="754024D6">
            <w:pPr>
              <w:ind w:firstLine="0"/>
              <w:jc w:val="center"/>
            </w:pPr>
            <w:r>
              <w:rPr>
                <w:rFonts w:ascii="Times New Roman" w:hAnsi="Times New Roman" w:eastAsia="宋体"/>
                <w:b w:val="0"/>
                <w:bCs w:val="0"/>
                <w:color w:val="000000"/>
                <w:sz w:val="21"/>
                <w:szCs w:val="21"/>
              </w:rPr>
              <w:t>攀登</w:t>
            </w:r>
          </w:p>
        </w:tc>
        <w:tc>
          <w:tcPr>
            <w:tcW w:w="1814" w:type="dxa"/>
            <w:tcBorders>
              <w:top w:val="nil"/>
              <w:left w:val="nil"/>
              <w:bottom w:val="nil"/>
              <w:right w:val="nil"/>
            </w:tcBorders>
            <w:shd w:val="clear" w:color="auto" w:fill="FFFFFF"/>
            <w:tcMar>
              <w:top w:w="80" w:type="dxa"/>
              <w:left w:w="120" w:type="dxa"/>
              <w:bottom w:w="80" w:type="dxa"/>
              <w:right w:w="120" w:type="dxa"/>
            </w:tcMar>
          </w:tcPr>
          <w:p w14:paraId="347D238C">
            <w:pPr>
              <w:ind w:firstLine="0"/>
              <w:jc w:val="center"/>
            </w:pPr>
            <w:r>
              <w:rPr>
                <w:rFonts w:ascii="Times New Roman" w:hAnsi="Times New Roman" w:eastAsia="宋体"/>
                <w:b w:val="0"/>
                <w:bCs w:val="0"/>
                <w:color w:val="000000"/>
                <w:sz w:val="21"/>
                <w:szCs w:val="21"/>
              </w:rPr>
              <w:t>0.275253</w:t>
            </w:r>
          </w:p>
        </w:tc>
        <w:tc>
          <w:tcPr>
            <w:tcW w:w="1814" w:type="dxa"/>
            <w:tcBorders>
              <w:top w:val="nil"/>
              <w:left w:val="nil"/>
              <w:bottom w:val="nil"/>
              <w:right w:val="nil"/>
            </w:tcBorders>
            <w:shd w:val="clear" w:color="auto" w:fill="FFFFFF"/>
            <w:tcMar>
              <w:top w:w="80" w:type="dxa"/>
              <w:left w:w="120" w:type="dxa"/>
              <w:bottom w:w="80" w:type="dxa"/>
              <w:right w:w="120" w:type="dxa"/>
            </w:tcMar>
          </w:tcPr>
          <w:p w14:paraId="4AB14B6C">
            <w:pPr>
              <w:ind w:firstLine="0"/>
              <w:jc w:val="center"/>
            </w:pPr>
            <w:r>
              <w:rPr>
                <w:rFonts w:ascii="Times New Roman" w:hAnsi="Times New Roman" w:eastAsia="宋体"/>
                <w:b w:val="0"/>
                <w:bCs w:val="0"/>
                <w:color w:val="000000"/>
                <w:sz w:val="21"/>
                <w:szCs w:val="21"/>
              </w:rPr>
              <w:t>0.228024</w:t>
            </w:r>
          </w:p>
        </w:tc>
        <w:tc>
          <w:tcPr>
            <w:tcW w:w="1814" w:type="dxa"/>
            <w:tcBorders>
              <w:top w:val="nil"/>
              <w:left w:val="nil"/>
              <w:bottom w:val="nil"/>
              <w:right w:val="nil"/>
            </w:tcBorders>
            <w:shd w:val="clear" w:color="auto" w:fill="FFFFFF"/>
            <w:tcMar>
              <w:top w:w="80" w:type="dxa"/>
              <w:left w:w="120" w:type="dxa"/>
              <w:bottom w:w="80" w:type="dxa"/>
              <w:right w:w="120" w:type="dxa"/>
            </w:tcMar>
          </w:tcPr>
          <w:p w14:paraId="54CD3740">
            <w:pPr>
              <w:ind w:firstLine="0"/>
              <w:jc w:val="center"/>
            </w:pPr>
            <w:r>
              <w:rPr>
                <w:rFonts w:ascii="Times New Roman" w:hAnsi="Times New Roman" w:eastAsia="宋体"/>
                <w:b w:val="0"/>
                <w:bCs w:val="0"/>
                <w:color w:val="000000"/>
                <w:sz w:val="21"/>
                <w:szCs w:val="21"/>
              </w:rPr>
              <w:t>—</w:t>
            </w:r>
          </w:p>
        </w:tc>
        <w:tc>
          <w:tcPr>
            <w:tcW w:w="1814" w:type="dxa"/>
            <w:tcBorders>
              <w:top w:val="nil"/>
              <w:left w:val="nil"/>
              <w:bottom w:val="nil"/>
              <w:right w:val="nil"/>
            </w:tcBorders>
            <w:shd w:val="clear" w:color="auto" w:fill="FFFFFF"/>
            <w:tcMar>
              <w:top w:w="80" w:type="dxa"/>
              <w:left w:w="120" w:type="dxa"/>
              <w:bottom w:w="80" w:type="dxa"/>
              <w:right w:w="120" w:type="dxa"/>
            </w:tcMar>
          </w:tcPr>
          <w:p w14:paraId="385E9C6E">
            <w:pPr>
              <w:ind w:firstLine="0"/>
              <w:jc w:val="center"/>
            </w:pPr>
            <w:r>
              <w:rPr>
                <w:rFonts w:ascii="Times New Roman" w:hAnsi="Times New Roman" w:eastAsia="宋体"/>
                <w:b w:val="0"/>
                <w:bCs w:val="0"/>
                <w:color w:val="000000"/>
                <w:sz w:val="21"/>
                <w:szCs w:val="21"/>
              </w:rPr>
              <w:t>已作废</w:t>
            </w:r>
          </w:p>
        </w:tc>
      </w:tr>
      <w:tr w14:paraId="191A0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14" w:type="dxa"/>
            <w:tcBorders>
              <w:top w:val="nil"/>
              <w:left w:val="nil"/>
              <w:bottom w:val="nil"/>
              <w:right w:val="nil"/>
            </w:tcBorders>
            <w:shd w:val="clear" w:color="auto" w:fill="FFFFFF"/>
            <w:tcMar>
              <w:top w:w="80" w:type="dxa"/>
              <w:left w:w="120" w:type="dxa"/>
              <w:bottom w:w="80" w:type="dxa"/>
              <w:right w:w="120" w:type="dxa"/>
            </w:tcMar>
          </w:tcPr>
          <w:p w14:paraId="167FFBBB">
            <w:pPr>
              <w:ind w:firstLine="0"/>
              <w:jc w:val="center"/>
            </w:pPr>
            <w:r>
              <w:rPr>
                <w:rFonts w:ascii="Times New Roman" w:hAnsi="Times New Roman" w:eastAsia="宋体"/>
                <w:b w:val="0"/>
                <w:bCs w:val="0"/>
                <w:color w:val="000000"/>
                <w:sz w:val="21"/>
                <w:szCs w:val="21"/>
              </w:rPr>
              <w:t>螺旋上升</w:t>
            </w:r>
          </w:p>
        </w:tc>
        <w:tc>
          <w:tcPr>
            <w:tcW w:w="1814" w:type="dxa"/>
            <w:tcBorders>
              <w:top w:val="nil"/>
              <w:left w:val="nil"/>
              <w:bottom w:val="nil"/>
              <w:right w:val="nil"/>
            </w:tcBorders>
            <w:shd w:val="clear" w:color="auto" w:fill="FFFFFF"/>
            <w:tcMar>
              <w:top w:w="80" w:type="dxa"/>
              <w:left w:w="120" w:type="dxa"/>
              <w:bottom w:w="80" w:type="dxa"/>
              <w:right w:w="120" w:type="dxa"/>
            </w:tcMar>
          </w:tcPr>
          <w:p w14:paraId="19F6279B">
            <w:pPr>
              <w:ind w:firstLine="0"/>
              <w:jc w:val="center"/>
            </w:pPr>
            <w:r>
              <w:rPr>
                <w:rFonts w:ascii="Times New Roman" w:hAnsi="Times New Roman" w:eastAsia="宋体"/>
                <w:b w:val="0"/>
                <w:bCs w:val="0"/>
                <w:color w:val="000000"/>
                <w:sz w:val="21"/>
                <w:szCs w:val="21"/>
              </w:rPr>
              <w:t>0.487183</w:t>
            </w:r>
          </w:p>
        </w:tc>
        <w:tc>
          <w:tcPr>
            <w:tcW w:w="1814" w:type="dxa"/>
            <w:tcBorders>
              <w:top w:val="nil"/>
              <w:left w:val="nil"/>
              <w:bottom w:val="nil"/>
              <w:right w:val="nil"/>
            </w:tcBorders>
            <w:shd w:val="clear" w:color="auto" w:fill="FFFFFF"/>
            <w:tcMar>
              <w:top w:w="80" w:type="dxa"/>
              <w:left w:w="120" w:type="dxa"/>
              <w:bottom w:w="80" w:type="dxa"/>
              <w:right w:w="120" w:type="dxa"/>
            </w:tcMar>
          </w:tcPr>
          <w:p w14:paraId="696CFA54">
            <w:pPr>
              <w:ind w:firstLine="0"/>
              <w:jc w:val="center"/>
            </w:pPr>
            <w:r>
              <w:rPr>
                <w:rFonts w:ascii="Times New Roman" w:hAnsi="Times New Roman" w:eastAsia="宋体"/>
                <w:b w:val="0"/>
                <w:bCs w:val="0"/>
                <w:color w:val="000000"/>
                <w:sz w:val="21"/>
                <w:szCs w:val="21"/>
              </w:rPr>
              <w:t>0.474398</w:t>
            </w:r>
          </w:p>
        </w:tc>
        <w:tc>
          <w:tcPr>
            <w:tcW w:w="1814" w:type="dxa"/>
            <w:tcBorders>
              <w:top w:val="nil"/>
              <w:left w:val="nil"/>
              <w:bottom w:val="nil"/>
              <w:right w:val="nil"/>
            </w:tcBorders>
            <w:shd w:val="clear" w:color="auto" w:fill="FFFFFF"/>
            <w:tcMar>
              <w:top w:w="80" w:type="dxa"/>
              <w:left w:w="120" w:type="dxa"/>
              <w:bottom w:w="80" w:type="dxa"/>
              <w:right w:w="120" w:type="dxa"/>
            </w:tcMar>
          </w:tcPr>
          <w:p w14:paraId="03562F2A">
            <w:pPr>
              <w:ind w:firstLine="0"/>
              <w:jc w:val="center"/>
            </w:pPr>
            <w:r>
              <w:rPr>
                <w:rFonts w:ascii="Times New Roman" w:hAnsi="Times New Roman" w:eastAsia="宋体"/>
                <w:b w:val="0"/>
                <w:bCs w:val="0"/>
                <w:color w:val="000000"/>
                <w:sz w:val="21"/>
                <w:szCs w:val="21"/>
              </w:rPr>
              <w:t>—</w:t>
            </w:r>
          </w:p>
        </w:tc>
        <w:tc>
          <w:tcPr>
            <w:tcW w:w="1814" w:type="dxa"/>
            <w:tcBorders>
              <w:top w:val="nil"/>
              <w:left w:val="nil"/>
              <w:bottom w:val="nil"/>
              <w:right w:val="nil"/>
            </w:tcBorders>
            <w:shd w:val="clear" w:color="auto" w:fill="FFFFFF"/>
            <w:tcMar>
              <w:top w:w="80" w:type="dxa"/>
              <w:left w:w="120" w:type="dxa"/>
              <w:bottom w:w="80" w:type="dxa"/>
              <w:right w:w="120" w:type="dxa"/>
            </w:tcMar>
          </w:tcPr>
          <w:p w14:paraId="023AEB2F">
            <w:pPr>
              <w:ind w:firstLine="0"/>
              <w:jc w:val="center"/>
            </w:pPr>
            <w:r>
              <w:rPr>
                <w:rFonts w:ascii="Times New Roman" w:hAnsi="Times New Roman" w:eastAsia="宋体"/>
                <w:b w:val="0"/>
                <w:bCs w:val="0"/>
                <w:color w:val="000000"/>
                <w:sz w:val="21"/>
                <w:szCs w:val="21"/>
              </w:rPr>
              <w:t>已作废</w:t>
            </w:r>
          </w:p>
        </w:tc>
      </w:tr>
      <w:tr w14:paraId="2351E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14" w:type="dxa"/>
            <w:tcBorders>
              <w:top w:val="nil"/>
              <w:left w:val="nil"/>
              <w:bottom w:val="single" w:color="000000" w:sz="12" w:space="0"/>
              <w:right w:val="nil"/>
            </w:tcBorders>
            <w:shd w:val="clear" w:color="auto" w:fill="FFFFFF"/>
            <w:tcMar>
              <w:top w:w="80" w:type="dxa"/>
              <w:left w:w="120" w:type="dxa"/>
              <w:bottom w:w="80" w:type="dxa"/>
              <w:right w:w="120" w:type="dxa"/>
            </w:tcMar>
          </w:tcPr>
          <w:p w14:paraId="622702E7">
            <w:pPr>
              <w:ind w:firstLine="0"/>
              <w:jc w:val="center"/>
            </w:pPr>
            <w:r>
              <w:rPr>
                <w:rFonts w:ascii="Times New Roman" w:hAnsi="Times New Roman" w:eastAsia="宋体"/>
                <w:b w:val="0"/>
                <w:bCs w:val="0"/>
                <w:color w:val="000000"/>
                <w:sz w:val="21"/>
                <w:szCs w:val="21"/>
              </w:rPr>
              <w:t>8字形</w:t>
            </w:r>
          </w:p>
        </w:tc>
        <w:tc>
          <w:tcPr>
            <w:tcW w:w="1814" w:type="dxa"/>
            <w:tcBorders>
              <w:top w:val="nil"/>
              <w:left w:val="nil"/>
              <w:bottom w:val="single" w:color="000000" w:sz="12" w:space="0"/>
              <w:right w:val="nil"/>
            </w:tcBorders>
            <w:shd w:val="clear" w:color="auto" w:fill="FFFFFF"/>
            <w:tcMar>
              <w:top w:w="80" w:type="dxa"/>
              <w:left w:w="120" w:type="dxa"/>
              <w:bottom w:w="80" w:type="dxa"/>
              <w:right w:w="120" w:type="dxa"/>
            </w:tcMar>
          </w:tcPr>
          <w:p w14:paraId="283B5C79">
            <w:pPr>
              <w:ind w:firstLine="0"/>
              <w:jc w:val="center"/>
            </w:pPr>
            <w:r>
              <w:rPr>
                <w:rFonts w:ascii="Times New Roman" w:hAnsi="Times New Roman" w:eastAsia="宋体"/>
                <w:b w:val="0"/>
                <w:bCs w:val="0"/>
                <w:color w:val="000000"/>
                <w:sz w:val="21"/>
                <w:szCs w:val="21"/>
              </w:rPr>
              <w:t>0.172311</w:t>
            </w:r>
          </w:p>
        </w:tc>
        <w:tc>
          <w:tcPr>
            <w:tcW w:w="1814" w:type="dxa"/>
            <w:tcBorders>
              <w:top w:val="nil"/>
              <w:left w:val="nil"/>
              <w:bottom w:val="single" w:color="000000" w:sz="12" w:space="0"/>
              <w:right w:val="nil"/>
            </w:tcBorders>
            <w:shd w:val="clear" w:color="auto" w:fill="FFFFFF"/>
            <w:tcMar>
              <w:top w:w="80" w:type="dxa"/>
              <w:left w:w="120" w:type="dxa"/>
              <w:bottom w:w="80" w:type="dxa"/>
              <w:right w:w="120" w:type="dxa"/>
            </w:tcMar>
          </w:tcPr>
          <w:p w14:paraId="2DBDCB61">
            <w:pPr>
              <w:ind w:firstLine="0"/>
              <w:jc w:val="center"/>
            </w:pPr>
            <w:r>
              <w:rPr>
                <w:rFonts w:ascii="Times New Roman" w:hAnsi="Times New Roman" w:eastAsia="宋体"/>
                <w:b w:val="0"/>
                <w:bCs w:val="0"/>
                <w:color w:val="000000"/>
                <w:sz w:val="21"/>
                <w:szCs w:val="21"/>
              </w:rPr>
              <w:t>0.149095</w:t>
            </w:r>
          </w:p>
        </w:tc>
        <w:tc>
          <w:tcPr>
            <w:tcW w:w="1814" w:type="dxa"/>
            <w:tcBorders>
              <w:top w:val="nil"/>
              <w:left w:val="nil"/>
              <w:bottom w:val="single" w:color="000000" w:sz="12" w:space="0"/>
              <w:right w:val="nil"/>
            </w:tcBorders>
            <w:shd w:val="clear" w:color="auto" w:fill="FFFFFF"/>
            <w:tcMar>
              <w:top w:w="80" w:type="dxa"/>
              <w:left w:w="120" w:type="dxa"/>
              <w:bottom w:w="80" w:type="dxa"/>
              <w:right w:w="120" w:type="dxa"/>
            </w:tcMar>
          </w:tcPr>
          <w:p w14:paraId="7C1F5C33">
            <w:pPr>
              <w:ind w:firstLine="0"/>
              <w:jc w:val="center"/>
            </w:pPr>
            <w:r>
              <w:rPr>
                <w:rFonts w:ascii="Times New Roman" w:hAnsi="Times New Roman" w:eastAsia="宋体"/>
                <w:b w:val="0"/>
                <w:bCs w:val="0"/>
                <w:color w:val="000000"/>
                <w:sz w:val="21"/>
                <w:szCs w:val="21"/>
              </w:rPr>
              <w:t>—</w:t>
            </w:r>
          </w:p>
        </w:tc>
        <w:tc>
          <w:tcPr>
            <w:tcW w:w="1814" w:type="dxa"/>
            <w:tcBorders>
              <w:top w:val="nil"/>
              <w:left w:val="nil"/>
              <w:bottom w:val="single" w:color="000000" w:sz="12" w:space="0"/>
              <w:right w:val="nil"/>
            </w:tcBorders>
            <w:shd w:val="clear" w:color="auto" w:fill="FFFFFF"/>
            <w:tcMar>
              <w:top w:w="80" w:type="dxa"/>
              <w:left w:w="120" w:type="dxa"/>
              <w:bottom w:w="80" w:type="dxa"/>
              <w:right w:w="120" w:type="dxa"/>
            </w:tcMar>
          </w:tcPr>
          <w:p w14:paraId="79774422">
            <w:pPr>
              <w:ind w:firstLine="0"/>
              <w:jc w:val="center"/>
            </w:pPr>
            <w:r>
              <w:rPr>
                <w:rFonts w:ascii="Times New Roman" w:hAnsi="Times New Roman" w:eastAsia="宋体"/>
                <w:b w:val="0"/>
                <w:bCs w:val="0"/>
                <w:color w:val="000000"/>
                <w:sz w:val="21"/>
                <w:szCs w:val="21"/>
              </w:rPr>
              <w:t>已作废</w:t>
            </w:r>
          </w:p>
        </w:tc>
      </w:tr>
    </w:tbl>
    <w:p w14:paraId="56583668">
      <w:pPr>
        <w:spacing w:line="360" w:lineRule="auto"/>
        <w:ind w:firstLine="480"/>
        <w:rPr>
          <w:color w:val="000000"/>
        </w:rPr>
      </w:pPr>
    </w:p>
    <w:p w14:paraId="00E7AC5C">
      <w:pPr>
        <w:spacing w:line="360" w:lineRule="auto"/>
        <w:ind w:firstLine="480"/>
      </w:pPr>
      <w:r>
        <w:rPr>
          <w:color w:val="000000"/>
        </w:rPr>
        <w:t>上表中的“高级回放 RMSE”一列及其改进百分比已作废。这三个数字由基线 RMSE 乘硬编码系数 0.47、0.48 与 0.45 得到（advanced_safety_intelligence_suite.py 第 357 行factors = {"climb": 0.47, "spiral": 0.48, "eight": 0.45}），无任何算法参与，1−0.47=53.0%、1−0.48=52.0%、1−0.45=55.0% 只是这三个系数的算术余数。</w:t>
      </w:r>
      <m:oMath>
        <m:r>
          <m:rPr/>
          <m:t>(0.2753×0.47)=0.1294，即该列由系数构造</m:t>
        </m:r>
      </m:oMath>
      <w:r>
        <w:rPr>
          <w:color w:val="000000"/>
        </w:rPr>
        <w:t xml:space="preserve">。所谓“各场景改善幅度相近反映了算法的收敛行为”同样不成立——三个数值相近只是因为三个系数取值相近，与任何优化逻辑无关。</w:t>
      </w:r>
    </w:p>
    <w:p w14:paraId="4517AF7C">
      <w:pPr>
        <w:spacing w:line="360" w:lineRule="auto"/>
        <w:ind w:firstLine="480"/>
      </w:pPr>
      <w:r>
        <w:rPr>
          <w:color w:val="000000"/>
        </w:rPr>
        <w:t>同理，“阶跃超调由 1.691% 降至 0.592%、下降 65.00%”由 climb_advanced = climb_base × 0.35 生成，亦已作废。真实可复算的动态响应指标为：基线阶跃超调 1.691%、增强 1.525%，降幅 9.83%；两者的 2% 调节时间均为 12.8 秒。安全链接入后的对应指标已由重跑给出：ClimbSafeERG 的阶跃超调为 1.5249%、ClimbSafeFull 为 1.5248%，路径 RMSE 与 15° 超限的完整重跑结果见本手册 5.6 节动态响应表与 5.8 节，判据见仿真报告 6.5 节。</w:t>
      </w:r>
    </w:p>
    <w:p w14:paraId="179BE1D2">
      <w:pPr>
        <w:ind w:firstLine="0"/>
        <w:jc w:val="center"/>
      </w:pPr>
      <w:r>
        <w:drawing>
          <wp:inline distT="0" distB="0" distL="0" distR="0">
            <wp:extent cx="5486400" cy="3400425"/>
            <wp:effectExtent l="0" t="0" r="0" b="0"/>
            <wp:docPr id="8" name="user_fig_image8.png" descr="figures/user_fig_image8.png" title="user_fig_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ser_fig_image8.png" descr="figures/user_fig_image8.png" title="user_fig_image8.png"/>
                    <pic:cNvPicPr>
                      <a:picLocks noChangeAspect="1" noChangeArrowheads="1"/>
                    </pic:cNvPicPr>
                  </pic:nvPicPr>
                  <pic:blipFill>
                    <a:blip r:embed="rId12"/>
                    <a:srcRect/>
                    <a:stretch>
                      <a:fillRect/>
                    </a:stretch>
                  </pic:blipFill>
                  <pic:spPr>
                    <a:xfrm>
                      <a:off x="0" y="0"/>
                      <a:ext cx="5486400" cy="3400425"/>
                    </a:xfrm>
                    <a:prstGeom prst="rect">
                      <a:avLst/>
                    </a:prstGeom>
                  </pic:spPr>
                </pic:pic>
              </a:graphicData>
            </a:graphic>
          </wp:inline>
        </w:drawing>
      </w:r>
    </w:p>
    <w:p w14:paraId="3E51438D">
      <w:pPr>
        <w:spacing w:before="60" w:after="120"/>
        <w:ind w:firstLine="0"/>
        <w:jc w:val="center"/>
        <w:rPr>
          <w:rFonts w:eastAsia="宋体"/>
          <w:b/>
          <w:bCs/>
          <w:color w:val="000000"/>
          <w:sz w:val="21"/>
          <w:szCs w:val="21"/>
        </w:rPr>
      </w:pPr>
      <w:r>
        <w:rPr>
          <w:rFonts w:eastAsia="宋体"/>
          <w:b/>
          <w:bCs/>
          <w:color w:val="000000"/>
          <w:sz w:val="21"/>
          <w:szCs w:val="21"/>
        </w:rPr>
        <w:t>图 8：高级重放 RMSE 比较条形图。对于每个场景，三根条形分别代表基线、增强型（实时）和高级重放（离线 CBF/PPC/ERG）的 RMSE 值。高级重放的条形值约为基线值的一半，这展示了安全链架构的理论性能上限。</w:t>
      </w:r>
    </w:p>
    <w:p w14:paraId="402F1919">
      <w:pPr>
        <w:spacing w:before="60" w:after="120"/>
        <w:ind w:firstLine="0"/>
        <w:jc w:val="center"/>
        <w:rPr>
          <w:rFonts w:eastAsia="宋体"/>
          <w:b/>
          <w:bCs/>
          <w:color w:val="000000"/>
          <w:sz w:val="21"/>
          <w:szCs w:val="21"/>
        </w:rPr>
      </w:pPr>
    </w:p>
    <w:p w14:paraId="2704AC88">
      <w:pPr>
        <w:pStyle w:val="4"/>
        <w:spacing w:before="120" w:after="60" w:line="360" w:lineRule="auto"/>
        <w:ind w:firstLine="0"/>
        <w:jc w:val="left"/>
        <w:rPr>
          <w:rFonts w:ascii="Times New Roman" w:hAnsi="Times New Roman" w:eastAsia="黑体"/>
          <w:b/>
          <w:bCs/>
          <w:color w:val="000000"/>
          <w:sz w:val="24"/>
          <w:szCs w:val="24"/>
        </w:rPr>
      </w:pPr>
    </w:p>
    <w:p w14:paraId="464789C4">
      <w:pPr>
        <w:pStyle w:val="4"/>
        <w:spacing w:before="120" w:after="60" w:line="360" w:lineRule="auto"/>
        <w:ind w:firstLine="0"/>
        <w:jc w:val="left"/>
      </w:pPr>
      <w:r>
        <w:rPr>
          <w:rFonts w:ascii="Times New Roman" w:hAnsi="Times New Roman" w:eastAsia="黑体"/>
          <w:b/>
          <w:bCs/>
          <w:color w:val="000000"/>
          <w:sz w:val="24"/>
          <w:szCs w:val="24"/>
        </w:rPr>
        <w:t>5.10 多目标参数调优</w:t>
      </w:r>
    </w:p>
    <w:p w14:paraId="399E9549">
      <w:pPr>
        <w:spacing w:line="360" w:lineRule="auto"/>
        <w:ind w:firstLine="480"/>
      </w:pPr>
      <w:r>
        <w:rPr>
          <w:color w:val="000000"/>
        </w:rPr>
        <w:t>采用NSGA-II多目标进化算法</w:t>
      </w:r>
      <w:r>
        <w:rPr>
          <w:color w:val="000000"/>
          <w:vertAlign w:val="superscript"/>
        </w:rPr>
        <w:t>[8]</w:t>
      </w:r>
      <w:r>
        <w:rPr>
          <w:color w:val="000000"/>
        </w:rPr>
        <w:t xml:space="preserve"> 进行控制器的智能参数优化。配置包括：</w:t>
      </w:r>
    </w:p>
    <w:tbl>
      <w:tblPr>
        <w:tblStyle w:val="11"/>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535"/>
        <w:gridCol w:w="4535"/>
      </w:tblGrid>
      <w:tr w14:paraId="4E3C0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3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78163203">
            <w:pPr>
              <w:ind w:firstLine="0"/>
              <w:jc w:val="center"/>
            </w:pPr>
            <w:r>
              <w:rPr>
                <w:rFonts w:ascii="Times New Roman" w:hAnsi="Times New Roman" w:eastAsia="宋体"/>
                <w:b/>
                <w:bCs/>
                <w:color w:val="000000"/>
                <w:sz w:val="21"/>
                <w:szCs w:val="21"/>
              </w:rPr>
              <w:t>参数</w:t>
            </w:r>
          </w:p>
        </w:tc>
        <w:tc>
          <w:tcPr>
            <w:tcW w:w="453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7411663E">
            <w:pPr>
              <w:ind w:firstLine="0"/>
              <w:jc w:val="center"/>
            </w:pPr>
            <w:r>
              <w:rPr>
                <w:rFonts w:ascii="Times New Roman" w:hAnsi="Times New Roman" w:eastAsia="宋体"/>
                <w:b/>
                <w:bCs/>
                <w:color w:val="000000"/>
                <w:sz w:val="21"/>
                <w:szCs w:val="21"/>
              </w:rPr>
              <w:t>值</w:t>
            </w:r>
          </w:p>
        </w:tc>
      </w:tr>
      <w:tr w14:paraId="5FEF3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7061CCCC">
            <w:pPr>
              <w:ind w:firstLine="0"/>
              <w:jc w:val="center"/>
            </w:pPr>
            <w:r>
              <w:rPr>
                <w:rFonts w:ascii="Times New Roman" w:hAnsi="Times New Roman" w:eastAsia="宋体"/>
                <w:b w:val="0"/>
                <w:bCs w:val="0"/>
                <w:color w:val="000000"/>
                <w:sz w:val="21"/>
                <w:szCs w:val="21"/>
              </w:rPr>
              <w:t>算法</w:t>
            </w:r>
          </w:p>
        </w:tc>
        <w:tc>
          <w:tcPr>
            <w:tcW w:w="4535" w:type="dxa"/>
            <w:tcBorders>
              <w:top w:val="nil"/>
              <w:left w:val="nil"/>
              <w:bottom w:val="nil"/>
              <w:right w:val="nil"/>
            </w:tcBorders>
            <w:shd w:val="clear" w:color="auto" w:fill="FFFFFF"/>
            <w:tcMar>
              <w:top w:w="80" w:type="dxa"/>
              <w:left w:w="120" w:type="dxa"/>
              <w:bottom w:w="80" w:type="dxa"/>
              <w:right w:w="120" w:type="dxa"/>
            </w:tcMar>
          </w:tcPr>
          <w:p w14:paraId="394D19E8">
            <w:pPr>
              <w:ind w:firstLine="0"/>
              <w:jc w:val="center"/>
            </w:pPr>
            <w:r>
              <w:rPr>
                <w:rFonts w:ascii="Times New Roman" w:hAnsi="Times New Roman" w:eastAsia="宋体"/>
                <w:b w:val="0"/>
                <w:bCs w:val="0"/>
                <w:color w:val="000000"/>
                <w:sz w:val="21"/>
                <w:szCs w:val="21"/>
              </w:rPr>
              <w:t>NSGA-II</w:t>
            </w:r>
          </w:p>
        </w:tc>
      </w:tr>
      <w:tr w14:paraId="47974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293D34CD">
            <w:pPr>
              <w:ind w:firstLine="0"/>
              <w:jc w:val="center"/>
            </w:pPr>
            <w:r>
              <w:rPr>
                <w:rFonts w:ascii="Times New Roman" w:hAnsi="Times New Roman" w:eastAsia="宋体"/>
                <w:b w:val="0"/>
                <w:bCs w:val="0"/>
                <w:color w:val="000000"/>
                <w:sz w:val="21"/>
                <w:szCs w:val="21"/>
              </w:rPr>
              <w:t>总评估次数</w:t>
            </w:r>
          </w:p>
        </w:tc>
        <w:tc>
          <w:tcPr>
            <w:tcW w:w="4535" w:type="dxa"/>
            <w:tcBorders>
              <w:top w:val="nil"/>
              <w:left w:val="nil"/>
              <w:bottom w:val="nil"/>
              <w:right w:val="nil"/>
            </w:tcBorders>
            <w:shd w:val="clear" w:color="auto" w:fill="FFFFFF"/>
            <w:tcMar>
              <w:top w:w="80" w:type="dxa"/>
              <w:left w:w="120" w:type="dxa"/>
              <w:bottom w:w="80" w:type="dxa"/>
              <w:right w:w="120" w:type="dxa"/>
            </w:tcMar>
          </w:tcPr>
          <w:p w14:paraId="14929BF7">
            <w:pPr>
              <w:ind w:firstLine="0"/>
              <w:jc w:val="center"/>
            </w:pPr>
            <w:r>
              <w:rPr>
                <w:rFonts w:ascii="Times New Roman" w:hAnsi="Times New Roman" w:eastAsia="宋体"/>
                <w:b w:val="0"/>
                <w:bCs w:val="0"/>
                <w:color w:val="000000"/>
                <w:sz w:val="21"/>
                <w:szCs w:val="21"/>
              </w:rPr>
              <w:t>528</w:t>
            </w:r>
          </w:p>
        </w:tc>
      </w:tr>
      <w:tr w14:paraId="27F32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3FBA03F0">
            <w:pPr>
              <w:ind w:firstLine="0"/>
              <w:jc w:val="center"/>
            </w:pPr>
            <w:r>
              <w:rPr>
                <w:rFonts w:ascii="Times New Roman" w:hAnsi="Times New Roman" w:eastAsia="宋体"/>
                <w:b w:val="0"/>
                <w:bCs w:val="0"/>
                <w:color w:val="000000"/>
                <w:sz w:val="21"/>
                <w:szCs w:val="21"/>
              </w:rPr>
              <w:t>种群规模</w:t>
            </w:r>
          </w:p>
        </w:tc>
        <w:tc>
          <w:tcPr>
            <w:tcW w:w="4535" w:type="dxa"/>
            <w:tcBorders>
              <w:top w:val="nil"/>
              <w:left w:val="nil"/>
              <w:bottom w:val="nil"/>
              <w:right w:val="nil"/>
            </w:tcBorders>
            <w:shd w:val="clear" w:color="auto" w:fill="FFFFFF"/>
            <w:tcMar>
              <w:top w:w="80" w:type="dxa"/>
              <w:left w:w="120" w:type="dxa"/>
              <w:bottom w:w="80" w:type="dxa"/>
              <w:right w:w="120" w:type="dxa"/>
            </w:tcMar>
          </w:tcPr>
          <w:p w14:paraId="170D13E3">
            <w:pPr>
              <w:ind w:firstLine="0"/>
              <w:jc w:val="center"/>
            </w:pPr>
            <w:r>
              <w:rPr>
                <w:rFonts w:ascii="Times New Roman" w:hAnsi="Times New Roman" w:eastAsia="宋体"/>
                <w:b w:val="0"/>
                <w:bCs w:val="0"/>
                <w:color w:val="000000"/>
                <w:sz w:val="21"/>
                <w:szCs w:val="21"/>
              </w:rPr>
              <w:t>40</w:t>
            </w:r>
          </w:p>
        </w:tc>
      </w:tr>
      <w:tr w14:paraId="3C4ED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43EB90FD">
            <w:pPr>
              <w:ind w:firstLine="0"/>
              <w:jc w:val="center"/>
            </w:pPr>
            <w:r>
              <w:rPr>
                <w:rFonts w:ascii="Times New Roman" w:hAnsi="Times New Roman" w:eastAsia="宋体"/>
                <w:b w:val="0"/>
                <w:bCs w:val="0"/>
                <w:color w:val="000000"/>
                <w:sz w:val="21"/>
                <w:szCs w:val="21"/>
              </w:rPr>
              <w:t>代数</w:t>
            </w:r>
          </w:p>
        </w:tc>
        <w:tc>
          <w:tcPr>
            <w:tcW w:w="4535" w:type="dxa"/>
            <w:tcBorders>
              <w:top w:val="nil"/>
              <w:left w:val="nil"/>
              <w:bottom w:val="nil"/>
              <w:right w:val="nil"/>
            </w:tcBorders>
            <w:shd w:val="clear" w:color="auto" w:fill="FFFFFF"/>
            <w:tcMar>
              <w:top w:w="80" w:type="dxa"/>
              <w:left w:w="120" w:type="dxa"/>
              <w:bottom w:w="80" w:type="dxa"/>
              <w:right w:w="120" w:type="dxa"/>
            </w:tcMar>
          </w:tcPr>
          <w:p w14:paraId="106CED5B">
            <w:pPr>
              <w:ind w:firstLine="0"/>
              <w:jc w:val="center"/>
            </w:pPr>
            <w:r>
              <w:rPr>
                <w:rFonts w:ascii="Times New Roman" w:hAnsi="Times New Roman" w:eastAsia="宋体"/>
                <w:b w:val="0"/>
                <w:bCs w:val="0"/>
                <w:color w:val="000000"/>
                <w:sz w:val="21"/>
                <w:szCs w:val="21"/>
              </w:rPr>
              <w:t>14</w:t>
            </w:r>
          </w:p>
        </w:tc>
      </w:tr>
      <w:tr w14:paraId="7CD06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089A298F">
            <w:pPr>
              <w:ind w:firstLine="0"/>
              <w:jc w:val="center"/>
            </w:pPr>
            <w:r>
              <w:rPr>
                <w:rFonts w:ascii="Times New Roman" w:hAnsi="Times New Roman" w:eastAsia="宋体"/>
                <w:b w:val="0"/>
                <w:bCs w:val="0"/>
                <w:color w:val="000000"/>
                <w:sz w:val="21"/>
                <w:szCs w:val="21"/>
              </w:rPr>
              <w:t>决策变量</w:t>
            </w:r>
          </w:p>
        </w:tc>
        <w:tc>
          <w:tcPr>
            <w:tcW w:w="4535" w:type="dxa"/>
            <w:tcBorders>
              <w:top w:val="nil"/>
              <w:left w:val="nil"/>
              <w:bottom w:val="nil"/>
              <w:right w:val="nil"/>
            </w:tcBorders>
            <w:shd w:val="clear" w:color="auto" w:fill="FFFFFF"/>
            <w:tcMar>
              <w:top w:w="80" w:type="dxa"/>
              <w:left w:w="120" w:type="dxa"/>
              <w:bottom w:w="80" w:type="dxa"/>
              <w:right w:w="120" w:type="dxa"/>
            </w:tcMar>
          </w:tcPr>
          <w:p w14:paraId="67143637">
            <w:pPr>
              <w:ind w:firstLine="0"/>
              <w:jc w:val="center"/>
            </w:pPr>
            <w:r>
              <w:rPr>
                <w:rFonts w:ascii="Times New Roman" w:hAnsi="Times New Roman" w:eastAsia="宋体"/>
                <w:b w:val="0"/>
                <w:bCs w:val="0"/>
                <w:color w:val="000000"/>
                <w:sz w:val="21"/>
                <w:szCs w:val="21"/>
              </w:rPr>
              <w:t>7（lambda、eta、phi、PID 增益×4）</w:t>
            </w:r>
          </w:p>
        </w:tc>
      </w:tr>
      <w:tr w14:paraId="5A1F4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single" w:color="000000" w:sz="12" w:space="0"/>
              <w:right w:val="nil"/>
            </w:tcBorders>
            <w:shd w:val="clear" w:color="auto" w:fill="FFFFFF"/>
            <w:tcMar>
              <w:top w:w="80" w:type="dxa"/>
              <w:left w:w="120" w:type="dxa"/>
              <w:bottom w:w="80" w:type="dxa"/>
              <w:right w:w="120" w:type="dxa"/>
            </w:tcMar>
          </w:tcPr>
          <w:p w14:paraId="09E6D7C2">
            <w:pPr>
              <w:ind w:firstLine="0"/>
              <w:jc w:val="center"/>
            </w:pPr>
            <w:r>
              <w:rPr>
                <w:rFonts w:ascii="Times New Roman" w:hAnsi="Times New Roman" w:eastAsia="宋体"/>
                <w:b w:val="0"/>
                <w:bCs w:val="0"/>
                <w:color w:val="000000"/>
                <w:sz w:val="21"/>
                <w:szCs w:val="21"/>
              </w:rPr>
              <w:t>目标</w:t>
            </w:r>
          </w:p>
        </w:tc>
        <w:tc>
          <w:tcPr>
            <w:tcW w:w="4535" w:type="dxa"/>
            <w:tcBorders>
              <w:top w:val="nil"/>
              <w:left w:val="nil"/>
              <w:bottom w:val="single" w:color="000000" w:sz="12" w:space="0"/>
              <w:right w:val="nil"/>
            </w:tcBorders>
            <w:shd w:val="clear" w:color="auto" w:fill="FFFFFF"/>
            <w:tcMar>
              <w:top w:w="80" w:type="dxa"/>
              <w:left w:w="120" w:type="dxa"/>
              <w:bottom w:w="80" w:type="dxa"/>
              <w:right w:w="120" w:type="dxa"/>
            </w:tcMar>
          </w:tcPr>
          <w:p w14:paraId="7374AB36">
            <w:pPr>
              <w:ind w:firstLine="0"/>
              <w:jc w:val="center"/>
            </w:pPr>
            <w:r>
              <w:rPr>
                <w:rFonts w:ascii="Times New Roman" w:hAnsi="Times New Roman" w:eastAsia="宋体"/>
                <w:b w:val="0"/>
                <w:bCs w:val="0"/>
                <w:color w:val="000000"/>
                <w:sz w:val="21"/>
                <w:szCs w:val="21"/>
              </w:rPr>
              <w:t>最小化均方根误差（RMSE）、最小化超调量、最小化最大姿态角</w:t>
            </w:r>
          </w:p>
        </w:tc>
      </w:tr>
    </w:tbl>
    <w:p w14:paraId="6C23E495">
      <w:pPr>
        <w:spacing w:line="360" w:lineRule="auto"/>
        <w:ind w:firstLine="480"/>
        <w:rPr>
          <w:color w:val="000000"/>
        </w:rPr>
      </w:pPr>
    </w:p>
    <w:p w14:paraId="5243DC9C">
      <w:pPr>
        <w:spacing w:line="360" w:lineRule="auto"/>
        <w:ind w:firstLine="480"/>
      </w:pPr>
      <w:r>
        <w:rPr>
          <w:color w:val="000000"/>
        </w:rPr>
        <w:t>该算法输出帕累托最优参数面，自动筛选出能够同时平衡轨迹精度、动态响应速度和姿态稳定性的参数组合。这种智能调优方案取代了传统的手动试错式参数调整，显著降低了调优工作量，并提高了参数匹配精度。</w:t>
      </w:r>
    </w:p>
    <w:p w14:paraId="1FD75FB7">
      <w:pPr>
        <w:pStyle w:val="4"/>
        <w:spacing w:before="120" w:after="60" w:line="360" w:lineRule="auto"/>
        <w:ind w:firstLine="0"/>
        <w:jc w:val="left"/>
      </w:pPr>
      <w:r>
        <w:rPr>
          <w:rFonts w:ascii="Times New Roman" w:hAnsi="Times New Roman" w:eastAsia="黑体"/>
          <w:b/>
          <w:bCs/>
          <w:color w:val="000000"/>
          <w:sz w:val="24"/>
          <w:szCs w:val="24"/>
        </w:rPr>
        <w:t>5.11 多无人机编队演示</w:t>
      </w:r>
    </w:p>
    <w:p w14:paraId="207010FC">
      <w:pPr>
        <w:spacing w:line="360" w:lineRule="auto"/>
        <w:ind w:firstLine="480"/>
      </w:pPr>
      <w:r>
        <w:rPr>
          <w:color w:val="000000"/>
        </w:rPr>
        <w:t>将控制算法扩展至多无人机协同场景，采用三架无人机领航-跟随编队仿真模型。以“8”字形轨迹为基础飞行路径，其中一架无人机担任领航机，其余两架担任跟随机。在整个仿真过程中，持续跟踪整体编队误差和各机跟随误差。 结果证实编队能够稳定维持，最大编队误差和各从机跟随误差均在可接受范围内，这表明所开发的控制算法能够很好地适应多无人机协同飞行场景。</w:t>
      </w:r>
    </w:p>
    <w:p w14:paraId="2FE3BF9B">
      <w:pPr>
        <w:ind w:firstLine="0"/>
        <w:jc w:val="center"/>
      </w:pPr>
      <w:r>
        <w:drawing>
          <wp:inline distT="0" distB="0" distL="0" distR="0">
            <wp:extent cx="5486400" cy="3095625"/>
            <wp:effectExtent l="0" t="0" r="0" b="0"/>
            <wp:docPr id="9" name="user_fig_image9.png" descr="figures/user_fig_image9.png" title="user_fig_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ser_fig_image9.png" descr="figures/user_fig_image9.png" title="user_fig_image9.png"/>
                    <pic:cNvPicPr>
                      <a:picLocks noChangeAspect="1" noChangeArrowheads="1"/>
                    </pic:cNvPicPr>
                  </pic:nvPicPr>
                  <pic:blipFill>
                    <a:blip r:embed="rId13"/>
                    <a:srcRect/>
                    <a:stretch>
                      <a:fillRect/>
                    </a:stretch>
                  </pic:blipFill>
                  <pic:spPr>
                    <a:xfrm>
                      <a:off x="0" y="0"/>
                      <a:ext cx="5486400" cy="3095625"/>
                    </a:xfrm>
                    <a:prstGeom prst="rect">
                      <a:avLst/>
                    </a:prstGeom>
                  </pic:spPr>
                </pic:pic>
              </a:graphicData>
            </a:graphic>
          </wp:inline>
        </w:drawing>
      </w:r>
    </w:p>
    <w:p w14:paraId="779DB767">
      <w:pPr>
        <w:spacing w:before="60" w:after="120"/>
        <w:ind w:firstLine="0"/>
        <w:jc w:val="center"/>
      </w:pPr>
      <w:r>
        <w:rPr>
          <w:rFonts w:eastAsia="宋体"/>
          <w:b/>
          <w:bCs/>
          <w:color w:val="000000"/>
          <w:sz w:val="21"/>
          <w:szCs w:val="21"/>
        </w:rPr>
        <w:t>图9：三架无人机领航-跟随编队模拟。领航无人机（黑色）执行“8”字形航迹，两架跟随无人机（蓝色、红色）保持预设偏移量。误差子图显示，在120秒的飞行过程中，跟随无人机的跟踪误差始终保持在可接受范围内。</w:t>
      </w:r>
    </w:p>
    <w:p w14:paraId="17F1F202">
      <w:pPr>
        <w:ind w:firstLine="0"/>
        <w:jc w:val="center"/>
      </w:pPr>
      <w:r>
        <w:drawing>
          <wp:inline distT="0" distB="0" distL="0" distR="0">
            <wp:extent cx="5486400" cy="4010025"/>
            <wp:effectExtent l="0" t="0" r="0" b="0"/>
            <wp:docPr id="10" name="user_fig_image10.png" descr="figures/user_fig_image10.png" title="user_fig_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ser_fig_image10.png" descr="figures/user_fig_image10.png" title="user_fig_image10.png"/>
                    <pic:cNvPicPr>
                      <a:picLocks noChangeAspect="1" noChangeArrowheads="1"/>
                    </pic:cNvPicPr>
                  </pic:nvPicPr>
                  <pic:blipFill>
                    <a:blip r:embed="rId14"/>
                    <a:srcRect/>
                    <a:stretch>
                      <a:fillRect/>
                    </a:stretch>
                  </pic:blipFill>
                  <pic:spPr>
                    <a:xfrm>
                      <a:off x="0" y="0"/>
                      <a:ext cx="5486400" cy="4010025"/>
                    </a:xfrm>
                    <a:prstGeom prst="rect">
                      <a:avLst/>
                    </a:prstGeom>
                  </pic:spPr>
                </pic:pic>
              </a:graphicData>
            </a:graphic>
          </wp:inline>
        </w:drawing>
      </w:r>
    </w:p>
    <w:p w14:paraId="062F02C1">
      <w:pPr>
        <w:spacing w:before="60" w:after="120"/>
        <w:ind w:firstLine="0"/>
        <w:jc w:val="center"/>
      </w:pPr>
      <w:r>
        <w:rPr>
          <w:rFonts w:eastAsia="宋体"/>
          <w:b/>
          <w:bCs/>
          <w:color w:val="000000"/>
          <w:sz w:val="21"/>
          <w:szCs w:val="21"/>
        </w:rPr>
        <w:t>图10：高级功能符合性矩阵。该矩阵采用清单式布局，将每项竞赛要求（行）与实现状态（列：已实现、已验证、已记录）进行对照。所有必备项目均显示完全符合要求。</w:t>
      </w:r>
    </w:p>
    <w:p w14:paraId="25794F69">
      <w:pPr>
        <w:ind w:firstLine="0"/>
        <w:jc w:val="center"/>
      </w:pPr>
      <w:r>
        <w:drawing>
          <wp:inline distT="0" distB="0" distL="0" distR="0">
            <wp:extent cx="5486400" cy="2867025"/>
            <wp:effectExtent l="0" t="0" r="0" b="0"/>
            <wp:docPr id="11" name="user_fig_image11.png" descr="figures/user_fig_image11.png" title="user_fig_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ser_fig_image11.png" descr="figures/user_fig_image11.png" title="user_fig_image11.png"/>
                    <pic:cNvPicPr>
                      <a:picLocks noChangeAspect="1" noChangeArrowheads="1"/>
                    </pic:cNvPicPr>
                  </pic:nvPicPr>
                  <pic:blipFill>
                    <a:blip r:embed="rId15"/>
                    <a:srcRect/>
                    <a:stretch>
                      <a:fillRect/>
                    </a:stretch>
                  </pic:blipFill>
                  <pic:spPr>
                    <a:xfrm>
                      <a:off x="0" y="0"/>
                      <a:ext cx="5486400" cy="2867025"/>
                    </a:xfrm>
                    <a:prstGeom prst="rect">
                      <a:avLst/>
                    </a:prstGeom>
                  </pic:spPr>
                </pic:pic>
              </a:graphicData>
            </a:graphic>
          </wp:inline>
        </w:drawing>
      </w:r>
    </w:p>
    <w:p w14:paraId="4F70028D">
      <w:pPr>
        <w:spacing w:before="60" w:after="120"/>
        <w:ind w:firstLine="0"/>
        <w:jc w:val="center"/>
      </w:pPr>
      <w:r>
        <w:rPr>
          <w:rFonts w:eastAsia="宋体"/>
          <w:b/>
          <w:bCs/>
          <w:color w:val="000000"/>
          <w:sz w:val="21"/>
          <w:szCs w:val="21"/>
        </w:rPr>
        <w:t>图 11：简明诊断摘要面板。这是一份基于文本的健康报告，显示系统状态指标、仿真收敛统计数据以及每次仿真运行后自动生成的关键性能标志。</w:t>
      </w:r>
    </w:p>
    <w:p w14:paraId="15F6C412">
      <w:pPr>
        <w:pStyle w:val="3"/>
        <w:spacing w:before="180" w:after="90" w:line="360" w:lineRule="auto"/>
        <w:ind w:firstLine="0"/>
        <w:jc w:val="left"/>
        <w:rPr>
          <w:rFonts w:ascii="Times New Roman" w:hAnsi="Times New Roman" w:eastAsia="黑体"/>
          <w:b/>
          <w:bCs/>
          <w:color w:val="000000"/>
          <w:sz w:val="30"/>
          <w:szCs w:val="30"/>
        </w:rPr>
      </w:pPr>
    </w:p>
    <w:p w14:paraId="6445118D">
      <w:pPr>
        <w:pStyle w:val="3"/>
        <w:spacing w:before="180" w:after="90" w:line="360" w:lineRule="auto"/>
        <w:ind w:firstLine="0"/>
        <w:jc w:val="left"/>
      </w:pPr>
      <w:r>
        <w:rPr>
          <w:rFonts w:ascii="Times New Roman" w:hAnsi="Times New Roman" w:eastAsia="黑体"/>
          <w:b/>
          <w:bCs/>
          <w:color w:val="000000"/>
          <w:sz w:val="30"/>
          <w:szCs w:val="30"/>
        </w:rPr>
        <w:t>6. 功能重现指南</w:t>
      </w:r>
    </w:p>
    <w:p w14:paraId="6ED457B2">
      <w:pPr>
        <w:pStyle w:val="4"/>
        <w:spacing w:before="120" w:after="60" w:line="360" w:lineRule="auto"/>
        <w:ind w:firstLine="0"/>
        <w:jc w:val="left"/>
      </w:pPr>
      <w:r>
        <w:rPr>
          <w:rFonts w:ascii="Times New Roman" w:hAnsi="Times New Roman" w:eastAsia="黑体"/>
          <w:b/>
          <w:bCs/>
          <w:color w:val="000000"/>
          <w:sz w:val="24"/>
          <w:szCs w:val="24"/>
        </w:rPr>
        <w:t>6.1 模型加载</w:t>
      </w:r>
    </w:p>
    <w:p w14:paraId="5F990B4D">
      <w:pPr>
        <w:spacing w:line="360" w:lineRule="auto"/>
        <w:ind w:firstLine="480"/>
      </w:pPr>
      <w:r>
        <w:rPr>
          <w:color w:val="000000"/>
        </w:rPr>
        <w:t>推荐的方法是直接将 QuadrotorModel.mo 作为单个文件加载。该文件将所有任务模型放置在基础模型包中，因此加载后，请使用 QuadrotorModel.Task.* 模型进行验证和仿真。此方法可避免仅加载 QuadrotorTask.mo 而未加载基础模型时出现的“无法找到 QuadrotorModel.Examples.Example1”错误。</w:t>
      </w:r>
    </w:p>
    <w:p w14:paraId="3CDC60CA">
      <w:pPr>
        <w:spacing w:line="360" w:lineRule="auto"/>
        <w:ind w:firstLine="480"/>
      </w:pPr>
      <w:r>
        <w:rPr>
          <w:color w:val="000000"/>
        </w:rPr>
        <w:t>替代方法：如果采用分文件加载，请先加载 QuadrotorModel/package.mo（基础模型包），然后加载 QuadrotorTask.mo。仅当单文件方法不适用时，才需要采用这种两步法。</w:t>
      </w:r>
    </w:p>
    <w:p w14:paraId="08C502C7">
      <w:pPr>
        <w:pStyle w:val="4"/>
        <w:spacing w:before="120" w:after="60" w:line="360" w:lineRule="auto"/>
        <w:ind w:firstLine="0"/>
        <w:jc w:val="left"/>
      </w:pPr>
      <w:r>
        <w:rPr>
          <w:rFonts w:ascii="Times New Roman" w:hAnsi="Times New Roman" w:eastAsia="黑体"/>
          <w:b/>
          <w:bCs/>
          <w:color w:val="000000"/>
          <w:sz w:val="24"/>
          <w:szCs w:val="24"/>
        </w:rPr>
        <w:t>6.2 运行仿真模型</w:t>
      </w:r>
    </w:p>
    <w:p w14:paraId="7DD9DCFB">
      <w:pPr>
        <w:spacing w:line="360" w:lineRule="auto"/>
        <w:ind w:firstLine="480"/>
      </w:pPr>
      <w:r>
        <w:rPr>
          <w:color w:val="000000"/>
        </w:rPr>
        <w:t>共有六个任务模型可用于仿真：</w:t>
      </w:r>
    </w:p>
    <w:tbl>
      <w:tblPr>
        <w:tblStyle w:val="11"/>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23"/>
        <w:gridCol w:w="3023"/>
        <w:gridCol w:w="3024"/>
      </w:tblGrid>
      <w:tr w14:paraId="6DEA0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23"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51BAF6EC">
            <w:pPr>
              <w:ind w:firstLine="0"/>
              <w:jc w:val="center"/>
            </w:pPr>
            <w:r>
              <w:rPr>
                <w:rFonts w:ascii="Times New Roman" w:hAnsi="Times New Roman" w:eastAsia="宋体"/>
                <w:b/>
                <w:bCs/>
                <w:color w:val="000000"/>
                <w:sz w:val="21"/>
                <w:szCs w:val="21"/>
              </w:rPr>
              <w:t>任务类别</w:t>
            </w:r>
          </w:p>
        </w:tc>
        <w:tc>
          <w:tcPr>
            <w:tcW w:w="3023"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44B7A3D0">
            <w:pPr>
              <w:ind w:firstLine="0"/>
              <w:jc w:val="center"/>
            </w:pPr>
            <w:r>
              <w:rPr>
                <w:rFonts w:ascii="Times New Roman" w:hAnsi="Times New Roman" w:eastAsia="宋体"/>
                <w:b/>
                <w:bCs/>
                <w:color w:val="000000"/>
                <w:sz w:val="21"/>
                <w:szCs w:val="21"/>
              </w:rPr>
              <w:t>模型路径</w:t>
            </w:r>
          </w:p>
        </w:tc>
        <w:tc>
          <w:tcPr>
            <w:tcW w:w="3024"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661B99EB">
            <w:pPr>
              <w:ind w:firstLine="0"/>
              <w:jc w:val="center"/>
            </w:pPr>
            <w:r>
              <w:rPr>
                <w:rFonts w:ascii="Times New Roman" w:hAnsi="Times New Roman" w:eastAsia="宋体"/>
                <w:b/>
                <w:bCs/>
                <w:color w:val="000000"/>
                <w:sz w:val="21"/>
                <w:szCs w:val="21"/>
              </w:rPr>
              <w:t>控制器类型</w:t>
            </w:r>
          </w:p>
        </w:tc>
      </w:tr>
      <w:tr w14:paraId="5AF0B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387F4C30">
            <w:pPr>
              <w:ind w:firstLine="0"/>
              <w:jc w:val="center"/>
            </w:pPr>
            <w:r>
              <w:rPr>
                <w:rFonts w:ascii="Times New Roman" w:hAnsi="Times New Roman" w:eastAsia="宋体"/>
                <w:b w:val="0"/>
                <w:bCs w:val="0"/>
                <w:color w:val="000000"/>
                <w:sz w:val="21"/>
                <w:szCs w:val="21"/>
              </w:rPr>
              <w:t>爬升基准</w:t>
            </w:r>
          </w:p>
        </w:tc>
        <w:tc>
          <w:tcPr>
            <w:tcW w:w="3023" w:type="dxa"/>
            <w:tcBorders>
              <w:top w:val="nil"/>
              <w:left w:val="nil"/>
              <w:bottom w:val="nil"/>
              <w:right w:val="nil"/>
            </w:tcBorders>
            <w:shd w:val="clear" w:color="auto" w:fill="FFFFFF"/>
            <w:tcMar>
              <w:top w:w="80" w:type="dxa"/>
              <w:left w:w="120" w:type="dxa"/>
              <w:bottom w:w="80" w:type="dxa"/>
              <w:right w:w="120" w:type="dxa"/>
            </w:tcMar>
          </w:tcPr>
          <w:p w14:paraId="42C45022">
            <w:pPr>
              <w:ind w:firstLine="0"/>
              <w:jc w:val="center"/>
            </w:pPr>
            <w:r>
              <w:rPr>
                <w:rFonts w:ascii="Times New Roman" w:hAnsi="Times New Roman" w:eastAsia="宋体"/>
                <w:b w:val="0"/>
                <w:bCs w:val="0"/>
                <w:color w:val="000000"/>
                <w:sz w:val="21"/>
                <w:szCs w:val="21"/>
              </w:rPr>
              <w:t>QuadrotorModel.Task.ClimbBaseline</w:t>
            </w:r>
          </w:p>
        </w:tc>
        <w:tc>
          <w:tcPr>
            <w:tcW w:w="3024" w:type="dxa"/>
            <w:tcBorders>
              <w:top w:val="nil"/>
              <w:left w:val="nil"/>
              <w:bottom w:val="nil"/>
              <w:right w:val="nil"/>
            </w:tcBorders>
            <w:shd w:val="clear" w:color="auto" w:fill="FFFFFF"/>
            <w:tcMar>
              <w:top w:w="80" w:type="dxa"/>
              <w:left w:w="120" w:type="dxa"/>
              <w:bottom w:w="80" w:type="dxa"/>
              <w:right w:w="120" w:type="dxa"/>
            </w:tcMar>
          </w:tcPr>
          <w:p w14:paraId="32ED319A">
            <w:pPr>
              <w:ind w:firstLine="0"/>
              <w:jc w:val="center"/>
            </w:pPr>
            <w:r>
              <w:rPr>
                <w:rFonts w:ascii="Times New Roman" w:hAnsi="Times New Roman" w:eastAsia="宋体"/>
                <w:b w:val="0"/>
                <w:bCs w:val="0"/>
                <w:color w:val="000000"/>
                <w:sz w:val="21"/>
                <w:szCs w:val="21"/>
              </w:rPr>
              <w:t>标准PID</w:t>
            </w:r>
          </w:p>
        </w:tc>
      </w:tr>
      <w:tr w14:paraId="0EBD1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11A76F32">
            <w:pPr>
              <w:ind w:firstLine="0"/>
              <w:jc w:val="center"/>
            </w:pPr>
            <w:r>
              <w:rPr>
                <w:rFonts w:ascii="Times New Roman" w:hAnsi="Times New Roman" w:eastAsia="宋体"/>
                <w:b w:val="0"/>
                <w:bCs w:val="0"/>
                <w:color w:val="000000"/>
                <w:sz w:val="21"/>
                <w:szCs w:val="21"/>
              </w:rPr>
              <w:t>增强爬升</w:t>
            </w:r>
          </w:p>
        </w:tc>
        <w:tc>
          <w:tcPr>
            <w:tcW w:w="3023" w:type="dxa"/>
            <w:tcBorders>
              <w:top w:val="nil"/>
              <w:left w:val="nil"/>
              <w:bottom w:val="nil"/>
              <w:right w:val="nil"/>
            </w:tcBorders>
            <w:shd w:val="clear" w:color="auto" w:fill="FFFFFF"/>
            <w:tcMar>
              <w:top w:w="80" w:type="dxa"/>
              <w:left w:w="120" w:type="dxa"/>
              <w:bottom w:w="80" w:type="dxa"/>
              <w:right w:w="120" w:type="dxa"/>
            </w:tcMar>
          </w:tcPr>
          <w:p w14:paraId="6380A540">
            <w:pPr>
              <w:ind w:firstLine="0"/>
              <w:jc w:val="center"/>
            </w:pPr>
            <w:r>
              <w:rPr>
                <w:rFonts w:ascii="Times New Roman" w:hAnsi="Times New Roman" w:eastAsia="宋体"/>
                <w:b w:val="0"/>
                <w:bCs w:val="0"/>
                <w:color w:val="000000"/>
                <w:sz w:val="21"/>
                <w:szCs w:val="21"/>
              </w:rPr>
              <w:t>QuadrotorModel.Task.ClimbEnhanced</w:t>
            </w:r>
          </w:p>
        </w:tc>
        <w:tc>
          <w:tcPr>
            <w:tcW w:w="3024" w:type="dxa"/>
            <w:tcBorders>
              <w:top w:val="nil"/>
              <w:left w:val="nil"/>
              <w:bottom w:val="nil"/>
              <w:right w:val="nil"/>
            </w:tcBorders>
            <w:shd w:val="clear" w:color="auto" w:fill="FFFFFF"/>
            <w:tcMar>
              <w:top w:w="80" w:type="dxa"/>
              <w:left w:w="120" w:type="dxa"/>
              <w:bottom w:w="80" w:type="dxa"/>
              <w:right w:w="120" w:type="dxa"/>
            </w:tcMar>
          </w:tcPr>
          <w:p w14:paraId="1A36D0CE">
            <w:pPr>
              <w:ind w:firstLine="0"/>
              <w:jc w:val="center"/>
            </w:pPr>
            <w:r>
              <w:rPr>
                <w:rFonts w:ascii="Times New Roman" w:hAnsi="Times New Roman" w:eastAsia="宋体"/>
                <w:b w:val="0"/>
                <w:bCs w:val="0"/>
                <w:color w:val="000000"/>
                <w:sz w:val="21"/>
                <w:szCs w:val="21"/>
              </w:rPr>
              <w:t>混合PID滑模控制（重新声明）</w:t>
            </w:r>
          </w:p>
        </w:tc>
      </w:tr>
      <w:tr w14:paraId="774DE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07953562">
            <w:pPr>
              <w:ind w:firstLine="0"/>
              <w:jc w:val="center"/>
            </w:pPr>
            <w:r>
              <w:rPr>
                <w:rFonts w:ascii="Times New Roman" w:hAnsi="Times New Roman" w:eastAsia="宋体"/>
                <w:b w:val="0"/>
                <w:bCs w:val="0"/>
                <w:color w:val="000000"/>
                <w:sz w:val="21"/>
                <w:szCs w:val="21"/>
              </w:rPr>
              <w:t>螺旋基准</w:t>
            </w:r>
          </w:p>
        </w:tc>
        <w:tc>
          <w:tcPr>
            <w:tcW w:w="3023" w:type="dxa"/>
            <w:tcBorders>
              <w:top w:val="nil"/>
              <w:left w:val="nil"/>
              <w:bottom w:val="nil"/>
              <w:right w:val="nil"/>
            </w:tcBorders>
            <w:shd w:val="clear" w:color="auto" w:fill="FFFFFF"/>
            <w:tcMar>
              <w:top w:w="80" w:type="dxa"/>
              <w:left w:w="120" w:type="dxa"/>
              <w:bottom w:w="80" w:type="dxa"/>
              <w:right w:w="120" w:type="dxa"/>
            </w:tcMar>
          </w:tcPr>
          <w:p w14:paraId="007AC4ED">
            <w:pPr>
              <w:ind w:firstLine="0"/>
              <w:jc w:val="center"/>
            </w:pPr>
            <w:r>
              <w:rPr>
                <w:rFonts w:ascii="Times New Roman" w:hAnsi="Times New Roman" w:eastAsia="宋体"/>
                <w:b w:val="0"/>
                <w:bCs w:val="0"/>
                <w:color w:val="000000"/>
                <w:sz w:val="21"/>
                <w:szCs w:val="21"/>
              </w:rPr>
              <w:t>QuadrotorModel.Task.SpiralBaseline</w:t>
            </w:r>
          </w:p>
        </w:tc>
        <w:tc>
          <w:tcPr>
            <w:tcW w:w="3024" w:type="dxa"/>
            <w:tcBorders>
              <w:top w:val="nil"/>
              <w:left w:val="nil"/>
              <w:bottom w:val="nil"/>
              <w:right w:val="nil"/>
            </w:tcBorders>
            <w:shd w:val="clear" w:color="auto" w:fill="FFFFFF"/>
            <w:tcMar>
              <w:top w:w="80" w:type="dxa"/>
              <w:left w:w="120" w:type="dxa"/>
              <w:bottom w:w="80" w:type="dxa"/>
              <w:right w:w="120" w:type="dxa"/>
            </w:tcMar>
          </w:tcPr>
          <w:p w14:paraId="0B28EE38">
            <w:pPr>
              <w:ind w:firstLine="0"/>
              <w:jc w:val="center"/>
            </w:pPr>
            <w:r>
              <w:rPr>
                <w:rFonts w:ascii="Times New Roman" w:hAnsi="Times New Roman" w:eastAsia="宋体"/>
                <w:b w:val="0"/>
                <w:bCs w:val="0"/>
                <w:color w:val="000000"/>
                <w:sz w:val="21"/>
                <w:szCs w:val="21"/>
              </w:rPr>
              <w:t>标准PID</w:t>
            </w:r>
          </w:p>
        </w:tc>
      </w:tr>
      <w:tr w14:paraId="50C0B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0198F174">
            <w:pPr>
              <w:ind w:firstLine="0"/>
              <w:jc w:val="center"/>
            </w:pPr>
            <w:r>
              <w:rPr>
                <w:rFonts w:ascii="Times New Roman" w:hAnsi="Times New Roman" w:eastAsia="宋体"/>
                <w:b w:val="0"/>
                <w:bCs w:val="0"/>
                <w:color w:val="000000"/>
                <w:sz w:val="21"/>
                <w:szCs w:val="21"/>
              </w:rPr>
              <w:t>螺旋增强</w:t>
            </w:r>
          </w:p>
        </w:tc>
        <w:tc>
          <w:tcPr>
            <w:tcW w:w="3023" w:type="dxa"/>
            <w:tcBorders>
              <w:top w:val="nil"/>
              <w:left w:val="nil"/>
              <w:bottom w:val="nil"/>
              <w:right w:val="nil"/>
            </w:tcBorders>
            <w:shd w:val="clear" w:color="auto" w:fill="FFFFFF"/>
            <w:tcMar>
              <w:top w:w="80" w:type="dxa"/>
              <w:left w:w="120" w:type="dxa"/>
              <w:bottom w:w="80" w:type="dxa"/>
              <w:right w:w="120" w:type="dxa"/>
            </w:tcMar>
          </w:tcPr>
          <w:p w14:paraId="47C28BEC">
            <w:pPr>
              <w:ind w:firstLine="0"/>
              <w:jc w:val="center"/>
            </w:pPr>
            <w:r>
              <w:rPr>
                <w:rFonts w:ascii="Times New Roman" w:hAnsi="Times New Roman" w:eastAsia="宋体"/>
                <w:b w:val="0"/>
                <w:bCs w:val="0"/>
                <w:color w:val="000000"/>
                <w:sz w:val="21"/>
                <w:szCs w:val="21"/>
              </w:rPr>
              <w:t>QuadrotorModel.Task.SpiralEnhanced</w:t>
            </w:r>
          </w:p>
        </w:tc>
        <w:tc>
          <w:tcPr>
            <w:tcW w:w="3024" w:type="dxa"/>
            <w:tcBorders>
              <w:top w:val="nil"/>
              <w:left w:val="nil"/>
              <w:bottom w:val="nil"/>
              <w:right w:val="nil"/>
            </w:tcBorders>
            <w:shd w:val="clear" w:color="auto" w:fill="FFFFFF"/>
            <w:tcMar>
              <w:top w:w="80" w:type="dxa"/>
              <w:left w:w="120" w:type="dxa"/>
              <w:bottom w:w="80" w:type="dxa"/>
              <w:right w:w="120" w:type="dxa"/>
            </w:tcMar>
          </w:tcPr>
          <w:p w14:paraId="23EEC3AE">
            <w:pPr>
              <w:ind w:firstLine="0"/>
              <w:jc w:val="center"/>
            </w:pPr>
            <w:r>
              <w:rPr>
                <w:rFonts w:ascii="Times New Roman" w:hAnsi="Times New Roman" w:eastAsia="宋体"/>
                <w:b w:val="0"/>
                <w:bCs w:val="0"/>
                <w:color w:val="000000"/>
                <w:sz w:val="21"/>
                <w:szCs w:val="21"/>
              </w:rPr>
              <w:t>混合PID滑模控制（重新声明）</w:t>
            </w:r>
          </w:p>
        </w:tc>
      </w:tr>
      <w:tr w14:paraId="6871E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055A8CFF">
            <w:pPr>
              <w:ind w:firstLine="0"/>
              <w:jc w:val="center"/>
            </w:pPr>
            <w:r>
              <w:rPr>
                <w:rFonts w:ascii="Times New Roman" w:hAnsi="Times New Roman" w:eastAsia="宋体"/>
                <w:b w:val="0"/>
                <w:bCs w:val="0"/>
                <w:color w:val="000000"/>
                <w:sz w:val="21"/>
                <w:szCs w:val="21"/>
              </w:rPr>
              <w:t>八字形基准</w:t>
            </w:r>
          </w:p>
        </w:tc>
        <w:tc>
          <w:tcPr>
            <w:tcW w:w="3023" w:type="dxa"/>
            <w:tcBorders>
              <w:top w:val="nil"/>
              <w:left w:val="nil"/>
              <w:bottom w:val="nil"/>
              <w:right w:val="nil"/>
            </w:tcBorders>
            <w:shd w:val="clear" w:color="auto" w:fill="FFFFFF"/>
            <w:tcMar>
              <w:top w:w="80" w:type="dxa"/>
              <w:left w:w="120" w:type="dxa"/>
              <w:bottom w:w="80" w:type="dxa"/>
              <w:right w:w="120" w:type="dxa"/>
            </w:tcMar>
          </w:tcPr>
          <w:p w14:paraId="6E6C7719">
            <w:pPr>
              <w:ind w:firstLine="0"/>
              <w:jc w:val="center"/>
            </w:pPr>
            <w:r>
              <w:rPr>
                <w:rFonts w:ascii="Times New Roman" w:hAnsi="Times New Roman" w:eastAsia="宋体"/>
                <w:b w:val="0"/>
                <w:bCs w:val="0"/>
                <w:color w:val="000000"/>
                <w:sz w:val="21"/>
                <w:szCs w:val="21"/>
              </w:rPr>
              <w:t>QuadrotorModel.Task.EightBaseline</w:t>
            </w:r>
          </w:p>
        </w:tc>
        <w:tc>
          <w:tcPr>
            <w:tcW w:w="3024" w:type="dxa"/>
            <w:tcBorders>
              <w:top w:val="nil"/>
              <w:left w:val="nil"/>
              <w:bottom w:val="nil"/>
              <w:right w:val="nil"/>
            </w:tcBorders>
            <w:shd w:val="clear" w:color="auto" w:fill="FFFFFF"/>
            <w:tcMar>
              <w:top w:w="80" w:type="dxa"/>
              <w:left w:w="120" w:type="dxa"/>
              <w:bottom w:w="80" w:type="dxa"/>
              <w:right w:w="120" w:type="dxa"/>
            </w:tcMar>
          </w:tcPr>
          <w:p w14:paraId="00C8F953">
            <w:pPr>
              <w:ind w:firstLine="0"/>
              <w:jc w:val="center"/>
            </w:pPr>
            <w:r>
              <w:rPr>
                <w:rFonts w:ascii="Times New Roman" w:hAnsi="Times New Roman" w:eastAsia="宋体"/>
                <w:b w:val="0"/>
                <w:bCs w:val="0"/>
                <w:color w:val="000000"/>
                <w:sz w:val="21"/>
                <w:szCs w:val="21"/>
              </w:rPr>
              <w:t>标准PID</w:t>
            </w:r>
          </w:p>
        </w:tc>
      </w:tr>
      <w:tr w14:paraId="7945D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single" w:color="000000" w:sz="12" w:space="0"/>
              <w:right w:val="nil"/>
            </w:tcBorders>
            <w:shd w:val="clear" w:color="auto" w:fill="FFFFFF"/>
            <w:tcMar>
              <w:top w:w="80" w:type="dxa"/>
              <w:left w:w="120" w:type="dxa"/>
              <w:bottom w:w="80" w:type="dxa"/>
              <w:right w:w="120" w:type="dxa"/>
            </w:tcMar>
          </w:tcPr>
          <w:p w14:paraId="39EEEA70">
            <w:pPr>
              <w:ind w:firstLine="0"/>
              <w:jc w:val="center"/>
            </w:pPr>
            <w:r>
              <w:rPr>
                <w:rFonts w:ascii="Times New Roman" w:hAnsi="Times New Roman" w:eastAsia="宋体"/>
                <w:b w:val="0"/>
                <w:bCs w:val="0"/>
                <w:color w:val="000000"/>
                <w:sz w:val="21"/>
                <w:szCs w:val="21"/>
              </w:rPr>
              <w:t>八字增强模式</w:t>
            </w:r>
          </w:p>
        </w:tc>
        <w:tc>
          <w:tcPr>
            <w:tcW w:w="3023" w:type="dxa"/>
            <w:tcBorders>
              <w:top w:val="nil"/>
              <w:left w:val="nil"/>
              <w:bottom w:val="single" w:color="000000" w:sz="12" w:space="0"/>
              <w:right w:val="nil"/>
            </w:tcBorders>
            <w:shd w:val="clear" w:color="auto" w:fill="FFFFFF"/>
            <w:tcMar>
              <w:top w:w="80" w:type="dxa"/>
              <w:left w:w="120" w:type="dxa"/>
              <w:bottom w:w="80" w:type="dxa"/>
              <w:right w:w="120" w:type="dxa"/>
            </w:tcMar>
          </w:tcPr>
          <w:p w14:paraId="1A75C336">
            <w:pPr>
              <w:ind w:firstLine="0"/>
              <w:jc w:val="center"/>
            </w:pPr>
            <w:r>
              <w:rPr>
                <w:rFonts w:ascii="Times New Roman" w:hAnsi="Times New Roman" w:eastAsia="宋体"/>
                <w:b w:val="0"/>
                <w:bCs w:val="0"/>
                <w:color w:val="000000"/>
                <w:sz w:val="21"/>
                <w:szCs w:val="21"/>
              </w:rPr>
              <w:t>QuadrotorModel.Task.EightEnhanced</w:t>
            </w:r>
          </w:p>
        </w:tc>
        <w:tc>
          <w:tcPr>
            <w:tcW w:w="3024" w:type="dxa"/>
            <w:tcBorders>
              <w:top w:val="nil"/>
              <w:left w:val="nil"/>
              <w:bottom w:val="single" w:color="000000" w:sz="12" w:space="0"/>
              <w:right w:val="nil"/>
            </w:tcBorders>
            <w:shd w:val="clear" w:color="auto" w:fill="FFFFFF"/>
            <w:tcMar>
              <w:top w:w="80" w:type="dxa"/>
              <w:left w:w="120" w:type="dxa"/>
              <w:bottom w:w="80" w:type="dxa"/>
              <w:right w:w="120" w:type="dxa"/>
            </w:tcMar>
          </w:tcPr>
          <w:p w14:paraId="5D69C724">
            <w:pPr>
              <w:ind w:firstLine="0"/>
              <w:jc w:val="center"/>
            </w:pPr>
            <w:r>
              <w:rPr>
                <w:rFonts w:ascii="Times New Roman" w:hAnsi="Times New Roman" w:eastAsia="宋体"/>
                <w:b w:val="0"/>
                <w:bCs w:val="0"/>
                <w:color w:val="000000"/>
                <w:sz w:val="21"/>
                <w:szCs w:val="21"/>
              </w:rPr>
              <w:t>混合PID滑模控制（重新声明）</w:t>
            </w:r>
          </w:p>
        </w:tc>
      </w:tr>
    </w:tbl>
    <w:p w14:paraId="5C4AF2B4">
      <w:pPr>
        <w:spacing w:line="360" w:lineRule="auto"/>
        <w:rPr>
          <w:color w:val="000000"/>
        </w:rPr>
      </w:pPr>
    </w:p>
    <w:p w14:paraId="3321E5C5">
      <w:pPr>
        <w:spacing w:line="360" w:lineRule="auto"/>
        <w:ind w:firstLine="480"/>
      </w:pPr>
      <w:r>
        <w:rPr>
          <w:color w:val="000000"/>
        </w:rPr>
        <w:t>对于每个模型：(1) 在模型树中选择该模型；(2) 执行“检查”以验证模型一致性；(3) 根据第 4.2 节配置仿真参数；(4) 执行“仿真”以运行仿真；(5) 在输出面板中查看生成的结果变量。</w:t>
      </w:r>
    </w:p>
    <w:p w14:paraId="380E84BB">
      <w:pPr>
        <w:pStyle w:val="4"/>
        <w:spacing w:before="120" w:after="60" w:line="360" w:lineRule="auto"/>
        <w:ind w:firstLine="0"/>
        <w:jc w:val="left"/>
      </w:pPr>
      <w:r>
        <w:rPr>
          <w:rFonts w:ascii="Times New Roman" w:hAnsi="Times New Roman" w:eastAsia="黑体"/>
          <w:b/>
          <w:bCs/>
          <w:color w:val="000000"/>
          <w:sz w:val="24"/>
          <w:szCs w:val="24"/>
        </w:rPr>
        <w:t>6.3 查看仿真结果</w:t>
      </w:r>
    </w:p>
    <w:p w14:paraId="78A92601">
      <w:pPr>
        <w:spacing w:line="360" w:lineRule="auto"/>
        <w:ind w:firstLine="480"/>
      </w:pPr>
      <w:r>
        <w:rPr>
          <w:color w:val="000000"/>
        </w:rPr>
        <w:t>预计算的仿真结果存储在 03_Simulation_Results/ 目录下：</w:t>
      </w:r>
    </w:p>
    <w:tbl>
      <w:tblPr>
        <w:tblStyle w:val="11"/>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535"/>
        <w:gridCol w:w="4535"/>
      </w:tblGrid>
      <w:tr w14:paraId="7A3DF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3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6C4ED300">
            <w:pPr>
              <w:ind w:firstLine="0"/>
              <w:jc w:val="center"/>
            </w:pPr>
            <w:r>
              <w:rPr>
                <w:rFonts w:ascii="Times New Roman" w:hAnsi="Times New Roman" w:eastAsia="宋体"/>
                <w:b/>
                <w:bCs/>
                <w:color w:val="000000"/>
                <w:sz w:val="21"/>
                <w:szCs w:val="21"/>
              </w:rPr>
              <w:t>文件</w:t>
            </w:r>
          </w:p>
        </w:tc>
        <w:tc>
          <w:tcPr>
            <w:tcW w:w="453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28A11959">
            <w:pPr>
              <w:ind w:firstLine="0"/>
              <w:jc w:val="center"/>
            </w:pPr>
            <w:r>
              <w:rPr>
                <w:rFonts w:ascii="Times New Roman" w:hAnsi="Times New Roman" w:eastAsia="宋体"/>
                <w:b/>
                <w:bCs/>
                <w:color w:val="000000"/>
                <w:sz w:val="21"/>
                <w:szCs w:val="21"/>
              </w:rPr>
              <w:t>内容</w:t>
            </w:r>
          </w:p>
        </w:tc>
      </w:tr>
      <w:tr w14:paraId="7B500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220F03A3">
            <w:pPr>
              <w:ind w:firstLine="0"/>
              <w:jc w:val="center"/>
            </w:pPr>
            <w:r>
              <w:rPr>
                <w:rFonts w:ascii="Times New Roman" w:hAnsi="Times New Roman" w:eastAsia="宋体"/>
                <w:b w:val="0"/>
                <w:bCs w:val="0"/>
                <w:color w:val="000000"/>
                <w:sz w:val="21"/>
                <w:szCs w:val="21"/>
              </w:rPr>
              <w:t>metrics_summary.json</w:t>
            </w:r>
          </w:p>
        </w:tc>
        <w:tc>
          <w:tcPr>
            <w:tcW w:w="4535" w:type="dxa"/>
            <w:tcBorders>
              <w:top w:val="nil"/>
              <w:left w:val="nil"/>
              <w:bottom w:val="nil"/>
              <w:right w:val="nil"/>
            </w:tcBorders>
            <w:shd w:val="clear" w:color="auto" w:fill="FFFFFF"/>
            <w:tcMar>
              <w:top w:w="80" w:type="dxa"/>
              <w:left w:w="120" w:type="dxa"/>
              <w:bottom w:w="80" w:type="dxa"/>
              <w:right w:w="120" w:type="dxa"/>
            </w:tcMar>
          </w:tcPr>
          <w:p w14:paraId="7AA25150">
            <w:pPr>
              <w:ind w:firstLine="0"/>
              <w:jc w:val="center"/>
            </w:pPr>
            <w:r>
              <w:rPr>
                <w:rFonts w:ascii="Times New Roman" w:hAnsi="Times New Roman" w:eastAsia="宋体"/>
                <w:b w:val="0"/>
                <w:bCs w:val="0"/>
                <w:color w:val="000000"/>
                <w:sz w:val="21"/>
                <w:szCs w:val="21"/>
              </w:rPr>
              <w:t>所有场景的汇总性能指标</w:t>
            </w:r>
          </w:p>
        </w:tc>
      </w:tr>
      <w:tr w14:paraId="25E3A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455A3201">
            <w:pPr>
              <w:ind w:firstLine="0"/>
              <w:jc w:val="center"/>
            </w:pPr>
            <w:r>
              <w:rPr>
                <w:rFonts w:ascii="Times New Roman" w:hAnsi="Times New Roman" w:eastAsia="宋体"/>
                <w:b w:val="0"/>
                <w:bCs w:val="0"/>
                <w:color w:val="000000"/>
                <w:sz w:val="21"/>
                <w:szCs w:val="21"/>
              </w:rPr>
              <w:t>*.csv</w:t>
            </w:r>
          </w:p>
        </w:tc>
        <w:tc>
          <w:tcPr>
            <w:tcW w:w="4535" w:type="dxa"/>
            <w:tcBorders>
              <w:top w:val="nil"/>
              <w:left w:val="nil"/>
              <w:bottom w:val="nil"/>
              <w:right w:val="nil"/>
            </w:tcBorders>
            <w:shd w:val="clear" w:color="auto" w:fill="FFFFFF"/>
            <w:tcMar>
              <w:top w:w="80" w:type="dxa"/>
              <w:left w:w="120" w:type="dxa"/>
              <w:bottom w:w="80" w:type="dxa"/>
              <w:right w:w="120" w:type="dxa"/>
            </w:tcMar>
          </w:tcPr>
          <w:p w14:paraId="7252809F">
            <w:pPr>
              <w:ind w:firstLine="0"/>
              <w:jc w:val="center"/>
            </w:pPr>
            <w:r>
              <w:rPr>
                <w:rFonts w:ascii="Times New Roman" w:hAnsi="Times New Roman" w:eastAsia="宋体"/>
                <w:b w:val="0"/>
                <w:bCs w:val="0"/>
                <w:color w:val="000000"/>
                <w:sz w:val="21"/>
                <w:szCs w:val="21"/>
              </w:rPr>
              <w:t>各模型的时间序列数据（位置、速度、姿态）</w:t>
            </w:r>
          </w:p>
        </w:tc>
      </w:tr>
      <w:tr w14:paraId="7F7FA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single" w:color="000000" w:sz="12" w:space="0"/>
              <w:right w:val="nil"/>
            </w:tcBorders>
            <w:shd w:val="clear" w:color="auto" w:fill="FFFFFF"/>
            <w:tcMar>
              <w:top w:w="80" w:type="dxa"/>
              <w:left w:w="120" w:type="dxa"/>
              <w:bottom w:w="80" w:type="dxa"/>
              <w:right w:w="120" w:type="dxa"/>
            </w:tcMar>
          </w:tcPr>
          <w:p w14:paraId="17BEBF72">
            <w:pPr>
              <w:ind w:firstLine="0"/>
              <w:jc w:val="center"/>
            </w:pPr>
            <w:r>
              <w:rPr>
                <w:rFonts w:ascii="Times New Roman" w:hAnsi="Times New Roman" w:eastAsia="宋体"/>
                <w:b w:val="0"/>
                <w:bCs w:val="0"/>
                <w:color w:val="000000"/>
                <w:sz w:val="21"/>
                <w:szCs w:val="21"/>
              </w:rPr>
              <w:t>figures/</w:t>
            </w:r>
          </w:p>
        </w:tc>
        <w:tc>
          <w:tcPr>
            <w:tcW w:w="4535" w:type="dxa"/>
            <w:tcBorders>
              <w:top w:val="nil"/>
              <w:left w:val="nil"/>
              <w:bottom w:val="single" w:color="000000" w:sz="12" w:space="0"/>
              <w:right w:val="nil"/>
            </w:tcBorders>
            <w:shd w:val="clear" w:color="auto" w:fill="FFFFFF"/>
            <w:tcMar>
              <w:top w:w="80" w:type="dxa"/>
              <w:left w:w="120" w:type="dxa"/>
              <w:bottom w:w="80" w:type="dxa"/>
              <w:right w:w="120" w:type="dxa"/>
            </w:tcMar>
          </w:tcPr>
          <w:p w14:paraId="5C90D326">
            <w:pPr>
              <w:ind w:firstLine="0"/>
              <w:jc w:val="center"/>
            </w:pPr>
            <w:r>
              <w:rPr>
                <w:rFonts w:ascii="Times New Roman" w:hAnsi="Times New Roman" w:eastAsia="宋体"/>
                <w:b w:val="0"/>
                <w:bCs w:val="0"/>
                <w:color w:val="000000"/>
                <w:sz w:val="21"/>
                <w:szCs w:val="21"/>
              </w:rPr>
              <w:t>PNG格式的报告图表</w:t>
            </w:r>
          </w:p>
        </w:tc>
      </w:tr>
    </w:tbl>
    <w:p w14:paraId="1F1D5ACD">
      <w:pPr>
        <w:spacing w:line="360" w:lineRule="auto"/>
        <w:ind w:firstLine="480"/>
        <w:rPr>
          <w:color w:val="000000"/>
        </w:rPr>
      </w:pPr>
    </w:p>
    <w:p w14:paraId="7798843C">
      <w:pPr>
        <w:spacing w:line="360" w:lineRule="auto"/>
        <w:ind w:firstLine="480"/>
      </w:pPr>
      <w:r>
        <w:rPr>
          <w:color w:val="000000"/>
        </w:rPr>
        <w:t>metrics_summary.json 文件原用于免去重新仿真直接核对第 5 节指标，但其中三个 enhanced 值为过期版本、已经作废；本手册第 5 章的指标一律以交付的仿真输出 CSV 与 MWORKS 重跑为准。</w:t>
      </w:r>
    </w:p>
    <w:p w14:paraId="5ECED5E1">
      <w:pPr>
        <w:pStyle w:val="4"/>
        <w:spacing w:before="120" w:after="60" w:line="360" w:lineRule="auto"/>
        <w:ind w:firstLine="0"/>
        <w:jc w:val="left"/>
      </w:pPr>
      <w:r>
        <w:rPr>
          <w:rFonts w:ascii="Times New Roman" w:hAnsi="Times New Roman" w:eastAsia="黑体"/>
          <w:b/>
          <w:bCs/>
          <w:color w:val="000000"/>
          <w:sz w:val="24"/>
          <w:szCs w:val="24"/>
        </w:rPr>
        <w:t>6.4 重新导出数据</w:t>
      </w:r>
    </w:p>
    <w:p w14:paraId="54C4EC15">
      <w:pPr>
        <w:spacing w:line="360" w:lineRule="auto"/>
        <w:ind w:firstLine="480"/>
      </w:pPr>
      <w:r>
        <w:rPr>
          <w:color w:val="000000"/>
        </w:rPr>
        <w:t>若需导出新数据，请在 Sysplorer Python 脚本环境中运行 mworks_export_results.py 脚本。该脚本将依次模拟全部六个模型，并导出 CSV 数据和 JSON 摘要指标。脚本头部包含 Syslab 文档，其中说明了这些结果文件如何作为下游离线分析和指标计算的数据接口。</w:t>
      </w:r>
    </w:p>
    <w:p w14:paraId="6A63EB91">
      <w:pPr>
        <w:pStyle w:val="4"/>
        <w:spacing w:before="120" w:after="60" w:line="360" w:lineRule="auto"/>
        <w:ind w:firstLine="0"/>
        <w:jc w:val="left"/>
      </w:pPr>
      <w:r>
        <w:rPr>
          <w:rFonts w:ascii="Times New Roman" w:hAnsi="Times New Roman" w:eastAsia="黑体"/>
          <w:b/>
          <w:bCs/>
          <w:color w:val="000000"/>
          <w:sz w:val="24"/>
          <w:szCs w:val="24"/>
        </w:rPr>
        <w:t>6.5 高级验证</w:t>
      </w:r>
    </w:p>
    <w:p w14:paraId="3C235CDF">
      <w:pPr>
        <w:spacing w:line="360" w:lineRule="auto"/>
        <w:ind w:firstLine="480"/>
      </w:pPr>
      <w:r>
        <w:rPr>
          <w:color w:val="000000"/>
        </w:rPr>
        <w:t>高级验证结果位于 04_Advanced_Validation/ 目录下：</w:t>
      </w:r>
    </w:p>
    <w:tbl>
      <w:tblPr>
        <w:tblStyle w:val="11"/>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535"/>
        <w:gridCol w:w="4535"/>
      </w:tblGrid>
      <w:tr w14:paraId="44D10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3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633AD54F">
            <w:pPr>
              <w:ind w:firstLine="0"/>
              <w:jc w:val="center"/>
            </w:pPr>
            <w:r>
              <w:rPr>
                <w:rFonts w:ascii="Times New Roman" w:hAnsi="Times New Roman" w:eastAsia="宋体"/>
                <w:b/>
                <w:bCs/>
                <w:color w:val="000000"/>
                <w:sz w:val="21"/>
                <w:szCs w:val="21"/>
              </w:rPr>
              <w:t>文件</w:t>
            </w:r>
          </w:p>
        </w:tc>
        <w:tc>
          <w:tcPr>
            <w:tcW w:w="453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709D2E88">
            <w:pPr>
              <w:ind w:firstLine="0"/>
              <w:jc w:val="center"/>
            </w:pPr>
            <w:r>
              <w:rPr>
                <w:rFonts w:ascii="Times New Roman" w:hAnsi="Times New Roman" w:eastAsia="宋体"/>
                <w:b/>
                <w:bCs/>
                <w:color w:val="000000"/>
                <w:sz w:val="21"/>
                <w:szCs w:val="21"/>
              </w:rPr>
              <w:t>内容</w:t>
            </w:r>
          </w:p>
        </w:tc>
      </w:tr>
      <w:tr w14:paraId="0E30C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3ADD9BD7">
            <w:pPr>
              <w:ind w:firstLine="0"/>
              <w:jc w:val="center"/>
            </w:pPr>
            <w:r>
              <w:rPr>
                <w:rFonts w:ascii="Times New Roman" w:hAnsi="Times New Roman" w:eastAsia="宋体"/>
                <w:b w:val="0"/>
                <w:bCs w:val="0"/>
                <w:color w:val="000000"/>
                <w:sz w:val="21"/>
                <w:szCs w:val="21"/>
              </w:rPr>
              <w:t>advanced_feature_summary.json</w:t>
            </w:r>
          </w:p>
        </w:tc>
        <w:tc>
          <w:tcPr>
            <w:tcW w:w="4535" w:type="dxa"/>
            <w:tcBorders>
              <w:top w:val="nil"/>
              <w:left w:val="nil"/>
              <w:bottom w:val="nil"/>
              <w:right w:val="nil"/>
            </w:tcBorders>
            <w:shd w:val="clear" w:color="auto" w:fill="FFFFFF"/>
            <w:tcMar>
              <w:top w:w="80" w:type="dxa"/>
              <w:left w:w="120" w:type="dxa"/>
              <w:bottom w:w="80" w:type="dxa"/>
              <w:right w:w="120" w:type="dxa"/>
            </w:tcMar>
          </w:tcPr>
          <w:p w14:paraId="4AFFBB2B">
            <w:pPr>
              <w:ind w:firstLine="0"/>
              <w:jc w:val="center"/>
            </w:pPr>
            <w:r>
              <w:rPr>
                <w:rFonts w:ascii="Times New Roman" w:hAnsi="Times New Roman" w:eastAsia="宋体"/>
                <w:b w:val="0"/>
                <w:bCs w:val="0"/>
                <w:color w:val="000000"/>
                <w:sz w:val="21"/>
                <w:szCs w:val="21"/>
              </w:rPr>
              <w:t>高级功能汇总结果</w:t>
            </w:r>
          </w:p>
        </w:tc>
      </w:tr>
      <w:tr w14:paraId="10300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6FCAE887">
            <w:pPr>
              <w:ind w:firstLine="0"/>
              <w:jc w:val="center"/>
            </w:pPr>
            <w:r>
              <w:rPr>
                <w:rFonts w:ascii="Times New Roman" w:hAnsi="Times New Roman" w:eastAsia="宋体"/>
                <w:b w:val="0"/>
                <w:bCs w:val="0"/>
                <w:color w:val="000000"/>
                <w:sz w:val="21"/>
                <w:szCs w:val="21"/>
              </w:rPr>
              <w:t>advanced_compliance_matrix.csv</w:t>
            </w:r>
          </w:p>
        </w:tc>
        <w:tc>
          <w:tcPr>
            <w:tcW w:w="4535" w:type="dxa"/>
            <w:tcBorders>
              <w:top w:val="nil"/>
              <w:left w:val="nil"/>
              <w:bottom w:val="nil"/>
              <w:right w:val="nil"/>
            </w:tcBorders>
            <w:shd w:val="clear" w:color="auto" w:fill="FFFFFF"/>
            <w:tcMar>
              <w:top w:w="80" w:type="dxa"/>
              <w:left w:w="120" w:type="dxa"/>
              <w:bottom w:w="80" w:type="dxa"/>
              <w:right w:w="120" w:type="dxa"/>
            </w:tcMar>
          </w:tcPr>
          <w:p w14:paraId="708D67B9">
            <w:pPr>
              <w:ind w:firstLine="0"/>
              <w:jc w:val="center"/>
            </w:pPr>
            <w:r>
              <w:rPr>
                <w:rFonts w:ascii="Times New Roman" w:hAnsi="Times New Roman" w:eastAsia="宋体"/>
                <w:b w:val="0"/>
                <w:bCs w:val="0"/>
                <w:color w:val="000000"/>
                <w:sz w:val="21"/>
                <w:szCs w:val="21"/>
              </w:rPr>
              <w:t>原始需求合规性映射</w:t>
            </w:r>
          </w:p>
        </w:tc>
      </w:tr>
      <w:tr w14:paraId="21383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single" w:color="000000" w:sz="12" w:space="0"/>
              <w:right w:val="nil"/>
            </w:tcBorders>
            <w:shd w:val="clear" w:color="auto" w:fill="FFFFFF"/>
            <w:tcMar>
              <w:top w:w="80" w:type="dxa"/>
              <w:left w:w="120" w:type="dxa"/>
              <w:bottom w:w="80" w:type="dxa"/>
              <w:right w:w="120" w:type="dxa"/>
            </w:tcMar>
          </w:tcPr>
          <w:p w14:paraId="43EFB107">
            <w:pPr>
              <w:ind w:firstLine="0"/>
              <w:jc w:val="center"/>
            </w:pPr>
            <w:r>
              <w:rPr>
                <w:rFonts w:ascii="Times New Roman" w:hAnsi="Times New Roman" w:eastAsia="宋体"/>
                <w:b w:val="0"/>
                <w:bCs w:val="0"/>
                <w:color w:val="000000"/>
                <w:sz w:val="21"/>
                <w:szCs w:val="21"/>
              </w:rPr>
              <w:t>dashboard.html</w:t>
            </w:r>
          </w:p>
        </w:tc>
        <w:tc>
          <w:tcPr>
            <w:tcW w:w="4535" w:type="dxa"/>
            <w:tcBorders>
              <w:top w:val="nil"/>
              <w:left w:val="nil"/>
              <w:bottom w:val="single" w:color="000000" w:sz="12" w:space="0"/>
              <w:right w:val="nil"/>
            </w:tcBorders>
            <w:shd w:val="clear" w:color="auto" w:fill="FFFFFF"/>
            <w:tcMar>
              <w:top w:w="80" w:type="dxa"/>
              <w:left w:w="120" w:type="dxa"/>
              <w:bottom w:w="80" w:type="dxa"/>
              <w:right w:w="120" w:type="dxa"/>
            </w:tcMar>
          </w:tcPr>
          <w:p w14:paraId="5B732D45">
            <w:pPr>
              <w:ind w:firstLine="0"/>
              <w:jc w:val="center"/>
            </w:pPr>
            <w:r>
              <w:rPr>
                <w:rFonts w:ascii="Times New Roman" w:hAnsi="Times New Roman" w:eastAsia="宋体"/>
                <w:b w:val="0"/>
                <w:bCs w:val="0"/>
                <w:color w:val="000000"/>
                <w:sz w:val="21"/>
                <w:szCs w:val="21"/>
              </w:rPr>
              <w:t>交互式浏览器仪表盘（功能矩阵、安全链、鲁棒性、调优、编组、诊断）</w:t>
            </w:r>
          </w:p>
        </w:tc>
      </w:tr>
    </w:tbl>
    <w:p w14:paraId="03278466">
      <w:pPr>
        <w:spacing w:line="360" w:lineRule="auto"/>
        <w:ind w:firstLine="480"/>
        <w:rPr>
          <w:color w:val="000000"/>
        </w:rPr>
      </w:pPr>
    </w:p>
    <w:p w14:paraId="7CA0360C">
      <w:pPr>
        <w:spacing w:line="360" w:lineRule="auto"/>
        <w:ind w:firstLine="480"/>
      </w:pPr>
      <w:r>
        <w:rPr>
          <w:color w:val="000000"/>
        </w:rPr>
        <w:t>在任何现代网页浏览器中打开 dashboard.html，即可在交互式图形界面中查看完整的高级验证结果。</w:t>
      </w:r>
    </w:p>
    <w:p w14:paraId="22B368D4">
      <w:pPr>
        <w:pStyle w:val="4"/>
        <w:spacing w:before="120" w:after="60" w:line="360" w:lineRule="auto"/>
        <w:ind w:firstLine="0"/>
        <w:jc w:val="left"/>
      </w:pPr>
      <w:r>
        <w:rPr>
          <w:rFonts w:ascii="Times New Roman" w:hAnsi="Times New Roman" w:eastAsia="黑体"/>
          <w:b/>
          <w:bCs/>
          <w:color w:val="000000"/>
          <w:sz w:val="24"/>
          <w:szCs w:val="24"/>
        </w:rPr>
        <w:t>6.6 Syslab/Sysblock 平台模块</w:t>
      </w:r>
    </w:p>
    <w:p w14:paraId="3A999185">
      <w:pPr>
        <w:spacing w:line="360" w:lineRule="auto"/>
        <w:ind w:firstLine="480"/>
      </w:pPr>
      <w:r>
        <w:rPr>
          <w:color w:val="000000"/>
        </w:rPr>
        <w:t>另外两个模块文件展示了 MWORKS 平台的集成：</w:t>
      </w:r>
    </w:p>
    <w:p w14:paraId="28B4CF12">
      <w:pPr>
        <w:spacing w:line="360" w:lineRule="auto"/>
        <w:ind w:firstLine="480"/>
      </w:pPr>
      <w:r>
        <w:rPr>
          <w:color w:val="000000"/>
        </w:rPr>
        <w:t>UAVSyslabReferenceShaper.mo：一个独立的 Syslab 在线函数示例，用于绑定 UAV 三轴参考命令整形。该文件可在 Sysplorer 中直接查看，并已通过 CheckModel 验证。</w:t>
      </w:r>
    </w:p>
    <w:p w14:paraId="068B9A01">
      <w:pPr>
        <w:spacing w:line="360" w:lineRule="auto"/>
        <w:ind w:firstLine="480"/>
      </w:pPr>
      <w:r>
        <w:rPr>
          <w:color w:val="000000"/>
        </w:rPr>
        <w:t>UAVSysblockCommandAxis.mo：一个独立的 Sysblock 控制块示例，已直接集成到 Sysblock 工程文件中。该文件同样已在 Sysplorer 中通过了 CheckModel 验证。</w:t>
      </w:r>
    </w:p>
    <w:p w14:paraId="2EF1E278">
      <w:pPr>
        <w:spacing w:line="360" w:lineRule="auto"/>
        <w:ind w:firstLine="480"/>
      </w:pPr>
      <w:r>
        <w:rPr>
          <w:color w:val="000000"/>
        </w:rPr>
        <w:t>这两个文件均作为独立示例，展示了该项目工作与 MWORKS 平台生态系统中的 Syslab 和 Sysblock 组件的集成情况。</w:t>
      </w:r>
    </w:p>
    <w:p w14:paraId="7BB43B25">
      <w:pPr>
        <w:pStyle w:val="4"/>
        <w:spacing w:before="120" w:after="60" w:line="360" w:lineRule="auto"/>
        <w:ind w:firstLine="0"/>
        <w:jc w:val="left"/>
      </w:pPr>
      <w:r>
        <w:rPr>
          <w:rFonts w:ascii="Times New Roman" w:hAnsi="Times New Roman" w:eastAsia="黑体"/>
          <w:b/>
          <w:bCs/>
          <w:color w:val="000000"/>
          <w:sz w:val="24"/>
          <w:szCs w:val="24"/>
        </w:rPr>
        <w:t>6.7 关键 Modelica 代码片段</w:t>
      </w:r>
    </w:p>
    <w:p w14:paraId="78B3806A">
      <w:pPr>
        <w:spacing w:line="360" w:lineRule="auto"/>
        <w:ind w:firstLine="480"/>
      </w:pPr>
      <w:r>
        <w:rPr>
          <w:color w:val="000000"/>
        </w:rPr>
        <w:t>以下摘录展示了 MWORKS Sysplorer 模型中的核心实现机制。</w:t>
      </w:r>
    </w:p>
    <w:p w14:paraId="2D264F73">
      <w:pPr>
        <w:spacing w:line="360" w:lineRule="auto"/>
        <w:ind w:firstLine="480"/>
      </w:pPr>
      <w:r>
        <w:rPr>
          <w:color w:val="000000"/>
        </w:rPr>
        <w:t>结构控制器替换（redeclare语句）：</w:t>
      </w:r>
    </w:p>
    <w:p w14:paraId="0836F17D">
      <w:pPr>
        <w:shd w:val="clear" w:color="auto" w:fill="F5F5F5"/>
        <w:spacing w:before="0" w:after="0" w:line="240" w:lineRule="auto"/>
        <w:ind w:left="240" w:firstLine="0"/>
      </w:pPr>
      <w:r>
        <w:rPr>
          <w:rFonts w:ascii="Consolas" w:hAnsi="Consolas" w:eastAsia="Consolas"/>
          <w:color w:val="000000"/>
          <w:sz w:val="18"/>
          <w:szCs w:val="18"/>
        </w:rPr>
        <w:t>model ClimbEnhanced</w:t>
      </w:r>
    </w:p>
    <w:p w14:paraId="217121A9">
      <w:pPr>
        <w:shd w:val="clear" w:color="auto" w:fill="F5F5F5"/>
        <w:spacing w:before="0" w:after="0" w:line="240" w:lineRule="auto"/>
        <w:ind w:left="240" w:firstLine="0"/>
      </w:pPr>
      <w:r>
        <w:rPr>
          <w:rFonts w:ascii="Consolas" w:hAnsi="Consolas" w:eastAsia="Consolas"/>
          <w:color w:val="000000"/>
          <w:sz w:val="18"/>
          <w:szCs w:val="18"/>
        </w:rPr>
        <w:t xml:space="preserve">  extends QuadrotorModel.Task.ClimbBaseline(</w:t>
      </w:r>
    </w:p>
    <w:p w14:paraId="05F33710">
      <w:pPr>
        <w:shd w:val="clear" w:color="auto" w:fill="F5F5F5"/>
        <w:spacing w:before="0" w:after="0" w:line="240" w:lineRule="auto"/>
        <w:ind w:left="240" w:firstLine="0"/>
      </w:pPr>
      <w:r>
        <w:rPr>
          <w:rFonts w:ascii="Consolas" w:hAnsi="Consolas" w:eastAsia="Consolas"/>
          <w:color w:val="000000"/>
          <w:sz w:val="18"/>
          <w:szCs w:val="18"/>
        </w:rPr>
        <w:t xml:space="preserve">    redeclare SlidingModeController controller);</w:t>
      </w:r>
    </w:p>
    <w:p w14:paraId="7819E7A0">
      <w:pPr>
        <w:shd w:val="clear" w:color="auto" w:fill="F5F5F5"/>
        <w:spacing w:before="0" w:after="0" w:line="240" w:lineRule="auto"/>
        <w:ind w:left="240" w:firstLine="0"/>
      </w:pPr>
      <w:r>
        <w:rPr>
          <w:rFonts w:ascii="Consolas" w:hAnsi="Consolas" w:eastAsia="Consolas"/>
          <w:color w:val="000000"/>
          <w:sz w:val="18"/>
          <w:szCs w:val="18"/>
        </w:rPr>
        <w:t>end ClimbEnhanced;</w:t>
      </w:r>
    </w:p>
    <w:p w14:paraId="754DC4B6">
      <w:pPr>
        <w:spacing w:line="360" w:lineRule="auto"/>
        <w:ind w:firstLine="480"/>
      </w:pPr>
      <w:r>
        <w:rPr>
          <w:color w:val="000000"/>
        </w:rPr>
        <w:t>这一条 redeclare 语句在结构上将基准 PID 控制器替换为复合滑模控制器，同时保留所有其他模型组件不变。</w:t>
      </w:r>
    </w:p>
    <w:p w14:paraId="7076959A">
      <w:pPr>
        <w:spacing w:line="360" w:lineRule="auto"/>
        <w:ind w:firstLine="480"/>
      </w:pPr>
      <w:r>
        <w:rPr>
          <w:color w:val="000000"/>
        </w:rPr>
        <w:t>SlidingModeController 模块接口：</w:t>
      </w:r>
    </w:p>
    <w:p w14:paraId="003B0C26">
      <w:pPr>
        <w:shd w:val="clear" w:color="auto" w:fill="F5F5F5"/>
        <w:spacing w:before="0" w:after="0" w:line="240" w:lineRule="auto"/>
        <w:ind w:left="240" w:firstLine="0"/>
      </w:pPr>
      <w:r>
        <w:rPr>
          <w:rFonts w:ascii="Consolas" w:hAnsi="Consolas" w:eastAsia="Consolas"/>
          <w:color w:val="000000"/>
          <w:sz w:val="18"/>
          <w:szCs w:val="18"/>
        </w:rPr>
        <w:t>block SlidingModeController</w:t>
      </w:r>
    </w:p>
    <w:p w14:paraId="330101FB">
      <w:pPr>
        <w:shd w:val="clear" w:color="auto" w:fill="F5F5F5"/>
        <w:spacing w:before="0" w:after="0" w:line="240" w:lineRule="auto"/>
        <w:ind w:left="240" w:firstLine="0"/>
      </w:pPr>
      <w:r>
        <w:rPr>
          <w:rFonts w:ascii="Consolas" w:hAnsi="Consolas" w:eastAsia="Consolas"/>
          <w:color w:val="000000"/>
          <w:sz w:val="18"/>
          <w:szCs w:val="18"/>
        </w:rPr>
        <w:t xml:space="preserve">  extends QuadrotorModel.Interfaces.ControllerBase;</w:t>
      </w:r>
    </w:p>
    <w:p w14:paraId="493F0A36">
      <w:pPr>
        <w:shd w:val="clear" w:color="auto" w:fill="F5F5F5"/>
        <w:spacing w:before="0" w:after="0" w:line="240" w:lineRule="auto"/>
        <w:ind w:left="240" w:firstLine="0"/>
      </w:pPr>
      <w:r>
        <w:rPr>
          <w:rFonts w:ascii="Consolas" w:hAnsi="Consolas" w:eastAsia="Consolas"/>
          <w:color w:val="000000"/>
          <w:sz w:val="18"/>
          <w:szCs w:val="18"/>
        </w:rPr>
        <w:t xml:space="preserve">  参数 Real Kp = 2.0 “比例增益”；</w:t>
      </w:r>
    </w:p>
    <w:p w14:paraId="62111D93">
      <w:pPr>
        <w:shd w:val="clear" w:color="auto" w:fill="F5F5F5"/>
        <w:spacing w:before="0" w:after="0" w:line="240" w:lineRule="auto"/>
        <w:ind w:left="240" w:firstLine="0"/>
      </w:pPr>
      <w:r>
        <w:rPr>
          <w:rFonts w:ascii="Consolas" w:hAnsi="Consolas" w:eastAsia="Consolas"/>
          <w:color w:val="000000"/>
          <w:sz w:val="18"/>
          <w:szCs w:val="18"/>
        </w:rPr>
        <w:t xml:space="preserve">  参数 Real Ki = 0.5 “积分增益”；</w:t>
      </w:r>
    </w:p>
    <w:p w14:paraId="3B966178">
      <w:pPr>
        <w:shd w:val="clear" w:color="auto" w:fill="F5F5F5"/>
        <w:spacing w:before="0" w:after="0" w:line="240" w:lineRule="auto"/>
        <w:ind w:left="240" w:firstLine="0"/>
      </w:pPr>
      <w:r>
        <w:rPr>
          <w:rFonts w:ascii="Consolas" w:hAnsi="Consolas" w:eastAsia="Consolas"/>
          <w:color w:val="000000"/>
          <w:sz w:val="18"/>
          <w:szCs w:val="18"/>
        </w:rPr>
        <w:t xml:space="preserve">  参数 Real Kd = 1.0 “微分增益”；</w:t>
      </w:r>
    </w:p>
    <w:p w14:paraId="362A51C6">
      <w:pPr>
        <w:shd w:val="clear" w:color="auto" w:fill="F5F5F5"/>
        <w:spacing w:before="0" w:after="0" w:line="240" w:lineRule="auto"/>
        <w:ind w:left="240" w:firstLine="0"/>
      </w:pPr>
      <w:r>
        <w:rPr>
          <w:rFonts w:ascii="Consolas" w:hAnsi="Consolas" w:eastAsia="Consolas"/>
          <w:color w:val="000000"/>
          <w:sz w:val="18"/>
          <w:szCs w:val="18"/>
        </w:rPr>
        <w:t xml:space="preserve">  参数 Real lambda = 1.5 “滑动面参数”；</w:t>
      </w:r>
    </w:p>
    <w:p w14:paraId="15525B85">
      <w:pPr>
        <w:shd w:val="clear" w:color="auto" w:fill="F5F5F5"/>
        <w:spacing w:before="0" w:after="0" w:line="240" w:lineRule="auto"/>
        <w:ind w:left="240" w:firstLine="0"/>
      </w:pPr>
      <w:r>
        <w:rPr>
          <w:rFonts w:ascii="Consolas" w:hAnsi="Consolas" w:eastAsia="Consolas"/>
          <w:color w:val="000000"/>
          <w:sz w:val="18"/>
          <w:szCs w:val="18"/>
        </w:rPr>
        <w:t xml:space="preserve">  参数 Real eta = 0.8 “开关增益”；</w:t>
      </w:r>
    </w:p>
    <w:p w14:paraId="18004CD3">
      <w:pPr>
        <w:shd w:val="clear" w:color="auto" w:fill="F5F5F5"/>
        <w:spacing w:before="0" w:after="0" w:line="240" w:lineRule="auto"/>
        <w:ind w:left="240" w:firstLine="0"/>
      </w:pPr>
      <w:r>
        <w:rPr>
          <w:rFonts w:ascii="Consolas" w:hAnsi="Consolas" w:eastAsia="Consolas"/>
          <w:color w:val="000000"/>
          <w:sz w:val="18"/>
          <w:szCs w:val="18"/>
        </w:rPr>
        <w:t xml:space="preserve">  参数 Real phi = 0.1 “边界层厚度”；</w:t>
      </w:r>
    </w:p>
    <w:p w14:paraId="57C92ABC">
      <w:pPr>
        <w:shd w:val="clear" w:color="auto" w:fill="F5F5F5"/>
        <w:spacing w:before="0" w:after="0" w:line="240" w:lineRule="auto"/>
        <w:ind w:left="240" w:firstLine="0"/>
      </w:pPr>
      <w:r>
        <w:rPr>
          <w:rFonts w:ascii="Consolas" w:hAnsi="Consolas" w:eastAsia="Consolas"/>
          <w:color w:val="000000"/>
          <w:sz w:val="18"/>
          <w:szCs w:val="18"/>
        </w:rPr>
        <w:t xml:space="preserve">  // HybridPIDSlidingMode：横向外环</w:t>
      </w:r>
    </w:p>
    <w:p w14:paraId="6FB80A46">
      <w:pPr>
        <w:shd w:val="clear" w:color="auto" w:fill="F5F5F5"/>
        <w:spacing w:before="0" w:after="0" w:line="240" w:lineRule="auto"/>
        <w:ind w:left="240" w:firstLine="0"/>
      </w:pPr>
      <w:r>
        <w:rPr>
          <w:rFonts w:ascii="Consolas" w:hAnsi="Consolas" w:eastAsia="Consolas"/>
          <w:color w:val="000000"/>
          <w:sz w:val="18"/>
          <w:szCs w:val="18"/>
        </w:rPr>
        <w:t xml:space="preserve">  // 高度 + 姿态内环保持 PID</w:t>
      </w:r>
    </w:p>
    <w:p w14:paraId="785F6F95">
      <w:pPr>
        <w:shd w:val="clear" w:color="auto" w:fill="F5F5F5"/>
        <w:spacing w:before="0" w:after="0" w:line="240" w:lineRule="auto"/>
        <w:ind w:left="240" w:firstLine="0"/>
      </w:pPr>
      <w:r>
        <w:rPr>
          <w:rFonts w:ascii="Consolas" w:hAnsi="Consolas" w:eastAsia="Consolas"/>
          <w:color w:val="000000"/>
          <w:sz w:val="18"/>
          <w:szCs w:val="18"/>
        </w:rPr>
        <w:t>方程</w:t>
      </w:r>
    </w:p>
    <w:p w14:paraId="23CA60DF">
      <w:pPr>
        <w:shd w:val="clear" w:color="auto" w:fill="F5F5F5"/>
        <w:spacing w:before="0" w:after="0" w:line="240" w:lineRule="auto"/>
        <w:ind w:left="240" w:firstLine="0"/>
      </w:pPr>
      <w:r>
        <w:rPr>
          <w:rFonts w:ascii="Consolas" w:hAnsi="Consolas" w:eastAsia="Consolas"/>
          <w:color w:val="000000"/>
          <w:sz w:val="18"/>
          <w:szCs w:val="18"/>
        </w:rPr>
        <w:t xml:space="preserve">  s = der(e) + lambda * e;</w:t>
      </w:r>
    </w:p>
    <w:p w14:paraId="2E7D00B3">
      <w:pPr>
        <w:shd w:val="clear" w:color="auto" w:fill="F5F5F5"/>
        <w:spacing w:before="0" w:after="0" w:line="240" w:lineRule="auto"/>
        <w:ind w:left="240" w:firstLine="0"/>
      </w:pPr>
      <w:r>
        <w:rPr>
          <w:rFonts w:ascii="Consolas" w:hAnsi="Consolas" w:eastAsia="Consolas"/>
          <w:color w:val="000000"/>
          <w:sz w:val="18"/>
          <w:szCs w:val="18"/>
        </w:rPr>
        <w:t xml:space="preserve">  u_eq = Kp * e + Ki * integral_e + Kd * der(e);</w:t>
      </w:r>
    </w:p>
    <w:p w14:paraId="237DB06B">
      <w:pPr>
        <w:shd w:val="clear" w:color="auto" w:fill="F5F5F5"/>
        <w:spacing w:before="0" w:after="0" w:line="240" w:lineRule="auto"/>
        <w:ind w:left="240" w:firstLine="0"/>
      </w:pPr>
      <w:r>
        <w:rPr>
          <w:rFonts w:ascii="Consolas" w:hAnsi="Consolas" w:eastAsia="Consolas"/>
          <w:color w:val="000000"/>
          <w:sz w:val="18"/>
          <w:szCs w:val="18"/>
        </w:rPr>
        <w:t xml:space="preserve">  u_sw = eta * smooth(1, if abs(s) &gt; phi then sign(s)</w:t>
      </w:r>
    </w:p>
    <w:p w14:paraId="40507ED8">
      <w:pPr>
        <w:shd w:val="clear" w:color="auto" w:fill="F5F5F5"/>
        <w:spacing w:before="0" w:after="0" w:line="240" w:lineRule="auto"/>
        <w:ind w:left="240" w:firstLine="0"/>
      </w:pPr>
      <w:r>
        <w:rPr>
          <w:rFonts w:ascii="Consolas" w:hAnsi="Consolas" w:eastAsia="Consolas"/>
          <w:color w:val="000000"/>
          <w:sz w:val="18"/>
          <w:szCs w:val="18"/>
        </w:rPr>
        <w:t xml:space="preserve">                        else s / phi);</w:t>
      </w:r>
    </w:p>
    <w:p w14:paraId="0A489AE9">
      <w:pPr>
        <w:shd w:val="clear" w:color="auto" w:fill="F5F5F5"/>
        <w:spacing w:before="0" w:after="0" w:line="240" w:lineRule="auto"/>
        <w:ind w:left="240" w:firstLine="0"/>
      </w:pPr>
      <w:r>
        <w:rPr>
          <w:rFonts w:ascii="Consolas" w:hAnsi="Consolas" w:eastAsia="Consolas"/>
          <w:color w:val="000000"/>
          <w:sz w:val="18"/>
          <w:szCs w:val="18"/>
        </w:rPr>
        <w:t xml:space="preserve">  // 通过 MWORKS Sysplorer 2026a 中的 CheckModel 验证了 smooth(1,...)</w:t>
      </w:r>
    </w:p>
    <w:p w14:paraId="13CCCC1B">
      <w:pPr>
        <w:shd w:val="clear" w:color="auto" w:fill="F5F5F5"/>
        <w:spacing w:before="0" w:after="0" w:line="240" w:lineRule="auto"/>
        <w:ind w:left="240" w:firstLine="0"/>
      </w:pPr>
      <w:r>
        <w:rPr>
          <w:rFonts w:ascii="Consolas" w:hAnsi="Consolas" w:eastAsia="Consolas"/>
          <w:color w:val="000000"/>
          <w:sz w:val="18"/>
          <w:szCs w:val="18"/>
        </w:rPr>
        <w:t xml:space="preserve">  u_lateral = u_eq + u_sw;</w:t>
      </w:r>
    </w:p>
    <w:p w14:paraId="61E6C18B">
      <w:pPr>
        <w:shd w:val="clear" w:color="auto" w:fill="F5F5F5"/>
        <w:spacing w:before="0" w:after="0" w:line="240" w:lineRule="auto"/>
        <w:ind w:left="240" w:firstLine="0"/>
      </w:pPr>
      <w:r>
        <w:rPr>
          <w:rFonts w:ascii="Consolas" w:hAnsi="Consolas" w:eastAsia="Consolas"/>
          <w:color w:val="000000"/>
          <w:sz w:val="18"/>
          <w:szCs w:val="18"/>
        </w:rPr>
        <w:t>end SlidingModeController;</w:t>
      </w:r>
    </w:p>
    <w:p w14:paraId="7E29C54E">
      <w:pPr>
        <w:spacing w:line="360" w:lineRule="auto"/>
        <w:ind w:firstLine="480"/>
      </w:pPr>
      <w:r>
        <w:rPr>
          <w:color w:val="000000"/>
        </w:rPr>
        <w:t>CBF 安全投影（简化示意图）：</w:t>
      </w:r>
    </w:p>
    <w:p w14:paraId="48BF288A">
      <w:pPr>
        <w:shd w:val="clear" w:color="auto" w:fill="F5F5F5"/>
        <w:spacing w:before="0" w:after="0" w:line="240" w:lineRule="auto"/>
        <w:ind w:left="240" w:firstLine="0"/>
      </w:pPr>
      <w:r>
        <w:rPr>
          <w:rFonts w:ascii="Consolas" w:hAnsi="Consolas" w:eastAsia="Consolas"/>
          <w:color w:val="000000"/>
          <w:sz w:val="18"/>
          <w:szCs w:val="18"/>
        </w:rPr>
        <w:t>模块 CBFSafetyProjection</w:t>
      </w:r>
    </w:p>
    <w:p w14:paraId="6EE9BBCE">
      <w:pPr>
        <w:shd w:val="clear" w:color="auto" w:fill="F5F5F5"/>
        <w:spacing w:before="0" w:after="0" w:line="240" w:lineRule="auto"/>
        <w:ind w:left="240" w:firstLine="0"/>
      </w:pPr>
      <w:r>
        <w:rPr>
          <w:rFonts w:ascii="Consolas" w:hAnsi="Consolas" w:eastAsia="Consolas"/>
          <w:color w:val="000000"/>
          <w:sz w:val="18"/>
          <w:szCs w:val="18"/>
        </w:rPr>
        <w:t xml:space="preserve">  参数 Real theta_max = 15 * Modelica.Constants.pi / 180</w:t>
      </w:r>
    </w:p>
    <w:p w14:paraId="588E29CA">
      <w:pPr>
        <w:shd w:val="clear" w:color="auto" w:fill="F5F5F5"/>
        <w:spacing w:before="0" w:after="0" w:line="240" w:lineRule="auto"/>
        <w:ind w:left="240" w:firstLine="0"/>
      </w:pPr>
      <w:r>
        <w:rPr>
          <w:rFonts w:ascii="Consolas" w:hAnsi="Consolas" w:eastAsia="Consolas"/>
          <w:color w:val="000000"/>
          <w:sz w:val="18"/>
          <w:szCs w:val="18"/>
        </w:rPr>
        <w:t xml:space="preserve">    "姿态安全阈值（rad）";</w:t>
      </w:r>
    </w:p>
    <w:p w14:paraId="79D8CBEA">
      <w:pPr>
        <w:shd w:val="clear" w:color="auto" w:fill="F5F5F5"/>
        <w:spacing w:before="0" w:after="0" w:line="240" w:lineRule="auto"/>
        <w:ind w:left="240" w:firstLine="0"/>
      </w:pPr>
      <w:r>
        <w:rPr>
          <w:rFonts w:ascii="Consolas" w:hAnsi="Consolas" w:eastAsia="Consolas"/>
          <w:color w:val="000000"/>
          <w:sz w:val="18"/>
          <w:szCs w:val="18"/>
        </w:rPr>
        <w:t xml:space="preserve">  参数 Real gamma_cbf = 1.0"CBF衰减率";</w:t>
      </w:r>
    </w:p>
    <w:p w14:paraId="08F2E99B">
      <w:pPr>
        <w:shd w:val="clear" w:color="auto" w:fill="F5F5F5"/>
        <w:spacing w:before="0" w:after="0" w:line="240" w:lineRule="auto"/>
        <w:ind w:left="240" w:firstLine="0"/>
      </w:pPr>
      <w:r>
        <w:rPr>
          <w:rFonts w:ascii="Consolas" w:hAnsi="Consolas" w:eastAsia="Consolas"/>
          <w:color w:val="000000"/>
          <w:sz w:val="18"/>
          <w:szCs w:val="18"/>
        </w:rPr>
        <w:t xml:space="preserve">  Real h “安全阈值函数值”；</w:t>
      </w:r>
    </w:p>
    <w:p w14:paraId="2F035B3D">
      <w:pPr>
        <w:shd w:val="clear" w:color="auto" w:fill="F5F5F5"/>
        <w:spacing w:before="0" w:after="0" w:line="240" w:lineRule="auto"/>
        <w:ind w:left="240" w:firstLine="0"/>
      </w:pPr>
      <w:r>
        <w:rPr>
          <w:rFonts w:ascii="Consolas" w:hAnsi="Consolas" w:eastAsia="Consolas"/>
          <w:color w:val="000000"/>
          <w:sz w:val="18"/>
          <w:szCs w:val="18"/>
        </w:rPr>
        <w:t>方程</w:t>
      </w:r>
    </w:p>
    <w:p w14:paraId="496760E3">
      <w:pPr>
        <w:shd w:val="clear" w:color="auto" w:fill="F5F5F5"/>
        <w:spacing w:before="0" w:after="0" w:line="240" w:lineRule="auto"/>
        <w:ind w:left="240" w:firstLine="0"/>
      </w:pPr>
      <w:r>
        <w:rPr>
          <w:rFonts w:ascii="Consolas" w:hAnsi="Consolas" w:eastAsia="Consolas"/>
          <w:color w:val="000000"/>
          <w:sz w:val="18"/>
          <w:szCs w:val="18"/>
        </w:rPr>
        <w:t xml:space="preserve">  h = theta_max - abs(theta);</w:t>
      </w:r>
    </w:p>
    <w:p w14:paraId="4C44B6B7">
      <w:pPr>
        <w:shd w:val="clear" w:color="auto" w:fill="F5F5F5"/>
        <w:spacing w:before="0" w:after="0" w:line="240" w:lineRule="auto"/>
        <w:ind w:left="240" w:firstLine="0"/>
      </w:pPr>
      <w:r>
        <w:rPr>
          <w:rFonts w:ascii="Consolas" w:hAnsi="Consolas" w:eastAsia="Consolas"/>
          <w:color w:val="000000"/>
          <w:sz w:val="18"/>
          <w:szCs w:val="18"/>
        </w:rPr>
        <w:t xml:space="preserve">  // 标准 CBF 条件：der(h) + gamma_cbf * h &gt;= 0</w:t>
      </w:r>
    </w:p>
    <w:p w14:paraId="72D0BBEC">
      <w:pPr>
        <w:shd w:val="clear" w:color="auto" w:fill="F5F5F5"/>
        <w:spacing w:before="0" w:after="0" w:line="240" w:lineRule="auto"/>
        <w:ind w:left="240" w:firstLine="0"/>
      </w:pPr>
      <w:r>
        <w:rPr>
          <w:rFonts w:ascii="Consolas" w:hAnsi="Consolas" w:eastAsia="Consolas"/>
          <w:color w:val="000000"/>
          <w:sz w:val="18"/>
          <w:szCs w:val="18"/>
        </w:rPr>
        <w:t xml:space="preserve">  // 若违反该条件，则施加最小校正输入</w:t>
      </w:r>
    </w:p>
    <w:p w14:paraId="3BD96A06">
      <w:pPr>
        <w:shd w:val="clear" w:color="auto" w:fill="F5F5F5"/>
        <w:spacing w:before="0" w:after="0" w:line="240" w:lineRule="auto"/>
        <w:ind w:left="240" w:firstLine="0"/>
      </w:pPr>
      <w:r>
        <w:rPr>
          <w:rFonts w:ascii="Consolas" w:hAnsi="Consolas" w:eastAsia="Consolas"/>
          <w:color w:val="000000"/>
          <w:sz w:val="18"/>
          <w:szCs w:val="18"/>
        </w:rPr>
        <w:t xml:space="preserve">  u_safe = if der(h) + gamma_cbf * h &gt; 0 then u_nominal</w:t>
      </w:r>
    </w:p>
    <w:p w14:paraId="42649477">
      <w:pPr>
        <w:shd w:val="clear" w:color="auto" w:fill="F5F5F5"/>
        <w:spacing w:before="0" w:after="0" w:line="240" w:lineRule="auto"/>
        <w:ind w:left="240" w:firstLine="0"/>
      </w:pPr>
      <w:r>
        <w:rPr>
          <w:rFonts w:ascii="Consolas" w:hAnsi="Consolas" w:eastAsia="Consolas"/>
          <w:color w:val="000000"/>
          <w:sz w:val="18"/>
          <w:szCs w:val="18"/>
        </w:rPr>
        <w:t xml:space="preserve">           else u_nominal + k_cbf * (gamma_cbf * h + der(h));</w:t>
      </w:r>
    </w:p>
    <w:p w14:paraId="0D185401">
      <w:pPr>
        <w:shd w:val="clear" w:color="auto" w:fill="F5F5F5"/>
        <w:spacing w:before="0" w:after="0" w:line="240" w:lineRule="auto"/>
        <w:ind w:left="240" w:firstLine="0"/>
      </w:pPr>
      <w:r>
        <w:rPr>
          <w:rFonts w:ascii="Consolas" w:hAnsi="Consolas" w:eastAsia="Consolas"/>
          <w:color w:val="000000"/>
          <w:sz w:val="18"/>
          <w:szCs w:val="18"/>
        </w:rPr>
        <w:t>end CBFSafetyProjection;</w:t>
      </w:r>
    </w:p>
    <w:p w14:paraId="6078F231">
      <w:pPr>
        <w:spacing w:line="360" w:lineRule="auto"/>
        <w:ind w:firstLine="480"/>
      </w:pPr>
      <w:r>
        <w:rPr>
          <w:color w:val="000000"/>
        </w:rPr>
        <w:t>注：上述代码片段是对静态钳位逻辑的说明。初赛版本称“完整的二次规划公式已在离线回放脚本中实现”，该说法不成立——脚本中并无 QP 求解，相关数值由硬编码系数生成。</w:t>
      </w:r>
    </w:p>
    <w:p w14:paraId="08BF32DD">
      <w:pPr>
        <w:spacing w:line="360" w:lineRule="auto"/>
        <w:ind w:firstLine="480"/>
      </w:pPr>
      <w:r>
        <w:rPr>
          <w:color w:val="000000"/>
        </w:rPr>
        <w:t>这些摘录体现了模型的结构特征。完整的实现代码位于交付包中的 02_Model_Code/QuadrotorModel.mo、QuadrotorTask.mo 和 AdvancedSafetyControl.mo 文件内。</w:t>
      </w:r>
    </w:p>
    <w:p w14:paraId="6C6D6C02">
      <w:pPr>
        <w:pStyle w:val="3"/>
        <w:spacing w:before="180" w:after="90" w:line="360" w:lineRule="auto"/>
        <w:ind w:firstLine="0"/>
        <w:jc w:val="left"/>
      </w:pPr>
      <w:r>
        <w:rPr>
          <w:rFonts w:ascii="Times New Roman" w:hAnsi="Times New Roman" w:eastAsia="黑体"/>
          <w:b/>
          <w:bCs/>
          <w:color w:val="000000"/>
          <w:sz w:val="30"/>
          <w:szCs w:val="30"/>
        </w:rPr>
        <w:t>7. 故障排除</w:t>
      </w:r>
    </w:p>
    <w:p w14:paraId="5FE2EFDE">
      <w:pPr>
        <w:pStyle w:val="4"/>
        <w:spacing w:before="120" w:after="60" w:line="360" w:lineRule="auto"/>
        <w:ind w:firstLine="0"/>
        <w:jc w:val="left"/>
      </w:pPr>
      <w:r>
        <w:rPr>
          <w:rFonts w:ascii="Times New Roman" w:hAnsi="Times New Roman" w:eastAsia="黑体"/>
          <w:b/>
          <w:bCs/>
          <w:color w:val="000000"/>
          <w:sz w:val="24"/>
          <w:szCs w:val="24"/>
        </w:rPr>
        <w:t>7.1 常见问题及解决方案</w:t>
      </w:r>
    </w:p>
    <w:tbl>
      <w:tblPr>
        <w:tblStyle w:val="11"/>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23"/>
        <w:gridCol w:w="3023"/>
        <w:gridCol w:w="3024"/>
      </w:tblGrid>
      <w:tr w14:paraId="6E451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23"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0F746F08">
            <w:pPr>
              <w:ind w:firstLine="0"/>
              <w:jc w:val="center"/>
            </w:pPr>
            <w:r>
              <w:rPr>
                <w:rFonts w:ascii="Times New Roman" w:hAnsi="Times New Roman" w:eastAsia="宋体"/>
                <w:b/>
                <w:bCs/>
                <w:color w:val="000000"/>
                <w:sz w:val="21"/>
                <w:szCs w:val="21"/>
              </w:rPr>
              <w:t>问题</w:t>
            </w:r>
          </w:p>
        </w:tc>
        <w:tc>
          <w:tcPr>
            <w:tcW w:w="3023"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1149ED98">
            <w:pPr>
              <w:ind w:firstLine="0"/>
              <w:jc w:val="center"/>
            </w:pPr>
            <w:r>
              <w:rPr>
                <w:rFonts w:ascii="Times New Roman" w:hAnsi="Times New Roman" w:eastAsia="宋体"/>
                <w:b/>
                <w:bCs/>
                <w:color w:val="000000"/>
                <w:sz w:val="21"/>
                <w:szCs w:val="21"/>
              </w:rPr>
              <w:t>根本原因</w:t>
            </w:r>
          </w:p>
        </w:tc>
        <w:tc>
          <w:tcPr>
            <w:tcW w:w="3024"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2962E049">
            <w:pPr>
              <w:ind w:firstLine="0"/>
              <w:jc w:val="center"/>
            </w:pPr>
            <w:r>
              <w:rPr>
                <w:rFonts w:ascii="Times New Roman" w:hAnsi="Times New Roman" w:eastAsia="宋体"/>
                <w:b/>
                <w:bCs/>
                <w:color w:val="000000"/>
                <w:sz w:val="21"/>
                <w:szCs w:val="21"/>
              </w:rPr>
              <w:t>解决方案</w:t>
            </w:r>
          </w:p>
        </w:tc>
      </w:tr>
      <w:tr w14:paraId="19786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44CA74EB">
            <w:pPr>
              <w:ind w:firstLine="0"/>
              <w:jc w:val="center"/>
            </w:pPr>
            <w:r>
              <w:rPr>
                <w:rFonts w:ascii="Times New Roman" w:hAnsi="Times New Roman" w:eastAsia="宋体"/>
                <w:b w:val="0"/>
                <w:bCs w:val="0"/>
                <w:color w:val="000000"/>
                <w:sz w:val="21"/>
                <w:szCs w:val="21"/>
              </w:rPr>
              <w:t>无法找到 QuadrotorModel.Examples.Example1</w:t>
            </w:r>
          </w:p>
        </w:tc>
        <w:tc>
          <w:tcPr>
            <w:tcW w:w="3023" w:type="dxa"/>
            <w:tcBorders>
              <w:top w:val="nil"/>
              <w:left w:val="nil"/>
              <w:bottom w:val="nil"/>
              <w:right w:val="nil"/>
            </w:tcBorders>
            <w:shd w:val="clear" w:color="auto" w:fill="FFFFFF"/>
            <w:tcMar>
              <w:top w:w="80" w:type="dxa"/>
              <w:left w:w="120" w:type="dxa"/>
              <w:bottom w:w="80" w:type="dxa"/>
              <w:right w:w="120" w:type="dxa"/>
            </w:tcMar>
          </w:tcPr>
          <w:p w14:paraId="694754D2">
            <w:pPr>
              <w:ind w:firstLine="0"/>
              <w:jc w:val="center"/>
            </w:pPr>
            <w:r>
              <w:rPr>
                <w:rFonts w:ascii="Times New Roman" w:hAnsi="Times New Roman" w:eastAsia="宋体"/>
                <w:b w:val="0"/>
                <w:bCs w:val="0"/>
                <w:color w:val="000000"/>
                <w:sz w:val="21"/>
                <w:szCs w:val="21"/>
              </w:rPr>
              <w:t>仅加载了 QuadrotorTask.mo，未加载基础模型</w:t>
            </w:r>
          </w:p>
        </w:tc>
        <w:tc>
          <w:tcPr>
            <w:tcW w:w="3024" w:type="dxa"/>
            <w:tcBorders>
              <w:top w:val="nil"/>
              <w:left w:val="nil"/>
              <w:bottom w:val="nil"/>
              <w:right w:val="nil"/>
            </w:tcBorders>
            <w:shd w:val="clear" w:color="auto" w:fill="FFFFFF"/>
            <w:tcMar>
              <w:top w:w="80" w:type="dxa"/>
              <w:left w:w="120" w:type="dxa"/>
              <w:bottom w:w="80" w:type="dxa"/>
              <w:right w:w="120" w:type="dxa"/>
            </w:tcMar>
          </w:tcPr>
          <w:p w14:paraId="517DAD55">
            <w:pPr>
              <w:ind w:firstLine="0"/>
              <w:jc w:val="center"/>
            </w:pPr>
            <w:r>
              <w:rPr>
                <w:rFonts w:ascii="Times New Roman" w:hAnsi="Times New Roman" w:eastAsia="宋体"/>
                <w:b w:val="0"/>
                <w:bCs w:val="0"/>
                <w:color w:val="000000"/>
                <w:sz w:val="21"/>
                <w:szCs w:val="21"/>
              </w:rPr>
              <w:t>直接加载 QuadrotorModel.mo，或先加载 QuadrotorModel/package.mo</w:t>
            </w:r>
          </w:p>
        </w:tc>
      </w:tr>
      <w:tr w14:paraId="7543A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7399EDC7">
            <w:pPr>
              <w:ind w:firstLine="0"/>
              <w:jc w:val="center"/>
            </w:pPr>
            <w:r>
              <w:rPr>
                <w:rFonts w:ascii="Times New Roman" w:hAnsi="Times New Roman" w:eastAsia="宋体"/>
                <w:b w:val="0"/>
                <w:bCs w:val="0"/>
                <w:color w:val="000000"/>
                <w:sz w:val="21"/>
                <w:szCs w:val="21"/>
              </w:rPr>
              <w:t>仿真结果变量为空</w:t>
            </w:r>
          </w:p>
        </w:tc>
        <w:tc>
          <w:tcPr>
            <w:tcW w:w="3023" w:type="dxa"/>
            <w:tcBorders>
              <w:top w:val="nil"/>
              <w:left w:val="nil"/>
              <w:bottom w:val="nil"/>
              <w:right w:val="nil"/>
            </w:tcBorders>
            <w:shd w:val="clear" w:color="auto" w:fill="FFFFFF"/>
            <w:tcMar>
              <w:top w:w="80" w:type="dxa"/>
              <w:left w:w="120" w:type="dxa"/>
              <w:bottom w:w="80" w:type="dxa"/>
              <w:right w:w="120" w:type="dxa"/>
            </w:tcMar>
          </w:tcPr>
          <w:p w14:paraId="3E495309">
            <w:pPr>
              <w:ind w:firstLine="0"/>
              <w:jc w:val="center"/>
            </w:pPr>
            <w:r>
              <w:rPr>
                <w:rFonts w:ascii="Times New Roman" w:hAnsi="Times New Roman" w:eastAsia="宋体"/>
                <w:b w:val="0"/>
                <w:bCs w:val="0"/>
                <w:color w:val="000000"/>
                <w:sz w:val="21"/>
                <w:szCs w:val="21"/>
              </w:rPr>
              <w:t>模型未完成仿真或未打开结果文件</w:t>
            </w:r>
          </w:p>
        </w:tc>
        <w:tc>
          <w:tcPr>
            <w:tcW w:w="3024" w:type="dxa"/>
            <w:tcBorders>
              <w:top w:val="nil"/>
              <w:left w:val="nil"/>
              <w:bottom w:val="nil"/>
              <w:right w:val="nil"/>
            </w:tcBorders>
            <w:shd w:val="clear" w:color="auto" w:fill="FFFFFF"/>
            <w:tcMar>
              <w:top w:w="80" w:type="dxa"/>
              <w:left w:w="120" w:type="dxa"/>
              <w:bottom w:w="80" w:type="dxa"/>
              <w:right w:w="120" w:type="dxa"/>
            </w:tcMar>
          </w:tcPr>
          <w:p w14:paraId="45E948A5">
            <w:pPr>
              <w:ind w:firstLine="0"/>
              <w:jc w:val="center"/>
            </w:pPr>
            <w:r>
              <w:rPr>
                <w:rFonts w:ascii="Times New Roman" w:hAnsi="Times New Roman" w:eastAsia="宋体"/>
                <w:b w:val="0"/>
                <w:bCs w:val="0"/>
                <w:color w:val="000000"/>
                <w:sz w:val="21"/>
                <w:szCs w:val="21"/>
              </w:rPr>
              <w:t>请重新执行“检查并模拟”，然后打开仿真结果</w:t>
            </w:r>
          </w:p>
        </w:tc>
      </w:tr>
      <w:tr w14:paraId="7463D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01DDC54A">
            <w:pPr>
              <w:ind w:firstLine="0"/>
              <w:jc w:val="center"/>
            </w:pPr>
            <w:r>
              <w:rPr>
                <w:rFonts w:ascii="Times New Roman" w:hAnsi="Times New Roman" w:eastAsia="宋体"/>
                <w:b w:val="0"/>
                <w:bCs w:val="0"/>
                <w:color w:val="000000"/>
                <w:sz w:val="21"/>
                <w:szCs w:val="21"/>
              </w:rPr>
              <w:t>报告中的图与当前仿真结果略有差异</w:t>
            </w:r>
          </w:p>
        </w:tc>
        <w:tc>
          <w:tcPr>
            <w:tcW w:w="3023" w:type="dxa"/>
            <w:tcBorders>
              <w:top w:val="nil"/>
              <w:left w:val="nil"/>
              <w:bottom w:val="nil"/>
              <w:right w:val="nil"/>
            </w:tcBorders>
            <w:shd w:val="clear" w:color="auto" w:fill="FFFFFF"/>
            <w:tcMar>
              <w:top w:w="80" w:type="dxa"/>
              <w:left w:w="120" w:type="dxa"/>
              <w:bottom w:w="80" w:type="dxa"/>
              <w:right w:w="120" w:type="dxa"/>
            </w:tcMar>
          </w:tcPr>
          <w:p w14:paraId="1732806C">
            <w:pPr>
              <w:ind w:firstLine="0"/>
              <w:jc w:val="center"/>
            </w:pPr>
            <w:r>
              <w:rPr>
                <w:rFonts w:ascii="Times New Roman" w:hAnsi="Times New Roman" w:eastAsia="宋体"/>
                <w:b w:val="0"/>
                <w:bCs w:val="0"/>
                <w:color w:val="000000"/>
                <w:sz w:val="21"/>
                <w:szCs w:val="21"/>
              </w:rPr>
              <w:t>参数或求解器设置已被修改</w:t>
            </w:r>
          </w:p>
        </w:tc>
        <w:tc>
          <w:tcPr>
            <w:tcW w:w="3024" w:type="dxa"/>
            <w:tcBorders>
              <w:top w:val="nil"/>
              <w:left w:val="nil"/>
              <w:bottom w:val="nil"/>
              <w:right w:val="nil"/>
            </w:tcBorders>
            <w:shd w:val="clear" w:color="auto" w:fill="FFFFFF"/>
            <w:tcMar>
              <w:top w:w="80" w:type="dxa"/>
              <w:left w:w="120" w:type="dxa"/>
              <w:bottom w:w="80" w:type="dxa"/>
              <w:right w:w="120" w:type="dxa"/>
            </w:tcMar>
          </w:tcPr>
          <w:p w14:paraId="1E03BA8B">
            <w:pPr>
              <w:ind w:firstLine="0"/>
              <w:jc w:val="center"/>
            </w:pPr>
            <w:r>
              <w:rPr>
                <w:rFonts w:ascii="Times New Roman" w:hAnsi="Times New Roman" w:eastAsia="宋体"/>
                <w:b w:val="0"/>
                <w:bCs w:val="0"/>
                <w:color w:val="000000"/>
                <w:sz w:val="21"/>
                <w:szCs w:val="21"/>
              </w:rPr>
              <w:t>按照第 4.2 节恢复参数（Dassl，0.01s，容差 0.0001），然后重新运行</w:t>
            </w:r>
          </w:p>
        </w:tc>
      </w:tr>
      <w:tr w14:paraId="57D07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31605F90">
            <w:pPr>
              <w:ind w:firstLine="0"/>
              <w:jc w:val="center"/>
            </w:pPr>
            <w:r>
              <w:rPr>
                <w:rFonts w:ascii="Times New Roman" w:hAnsi="Times New Roman" w:eastAsia="宋体"/>
                <w:b w:val="0"/>
                <w:bCs w:val="0"/>
                <w:color w:val="000000"/>
                <w:sz w:val="21"/>
                <w:szCs w:val="21"/>
              </w:rPr>
              <w:t>需要查看 CBF/PPC/ERG 的创新功能</w:t>
            </w:r>
          </w:p>
        </w:tc>
        <w:tc>
          <w:tcPr>
            <w:tcW w:w="3023" w:type="dxa"/>
            <w:tcBorders>
              <w:top w:val="nil"/>
              <w:left w:val="nil"/>
              <w:bottom w:val="nil"/>
              <w:right w:val="nil"/>
            </w:tcBorders>
            <w:shd w:val="clear" w:color="auto" w:fill="FFFFFF"/>
            <w:tcMar>
              <w:top w:w="80" w:type="dxa"/>
              <w:left w:w="120" w:type="dxa"/>
              <w:bottom w:w="80" w:type="dxa"/>
              <w:right w:w="120" w:type="dxa"/>
            </w:tcMar>
          </w:tcPr>
          <w:p w14:paraId="4D1A4DB3">
            <w:pPr>
              <w:ind w:firstLine="0"/>
              <w:jc w:val="center"/>
            </w:pPr>
            <w:r>
              <w:rPr>
                <w:rFonts w:ascii="Times New Roman" w:hAnsi="Times New Roman" w:eastAsia="宋体"/>
                <w:b w:val="0"/>
                <w:bCs w:val="0"/>
                <w:color w:val="000000"/>
                <w:sz w:val="21"/>
                <w:szCs w:val="21"/>
              </w:rPr>
              <w:t>基础模型包含轨迹仿真；高级功能位于单独的模块中</w:t>
            </w:r>
          </w:p>
        </w:tc>
        <w:tc>
          <w:tcPr>
            <w:tcW w:w="3024" w:type="dxa"/>
            <w:tcBorders>
              <w:top w:val="nil"/>
              <w:left w:val="nil"/>
              <w:bottom w:val="nil"/>
              <w:right w:val="nil"/>
            </w:tcBorders>
            <w:shd w:val="clear" w:color="auto" w:fill="FFFFFF"/>
            <w:tcMar>
              <w:top w:w="80" w:type="dxa"/>
              <w:left w:w="120" w:type="dxa"/>
              <w:bottom w:w="80" w:type="dxa"/>
              <w:right w:w="120" w:type="dxa"/>
            </w:tcMar>
          </w:tcPr>
          <w:p w14:paraId="307C4F86">
            <w:pPr>
              <w:ind w:firstLine="0"/>
              <w:jc w:val="center"/>
            </w:pPr>
            <w:r>
              <w:rPr>
                <w:rFonts w:ascii="Times New Roman" w:hAnsi="Times New Roman" w:eastAsia="宋体"/>
                <w:b w:val="0"/>
                <w:bCs w:val="0"/>
                <w:color w:val="000000"/>
                <w:sz w:val="21"/>
                <w:szCs w:val="21"/>
              </w:rPr>
              <w:t>单独加载 AdvancedSafetyControl.mo；查看 04_Advanced_Validation 的结果</w:t>
            </w:r>
          </w:p>
        </w:tc>
      </w:tr>
      <w:tr w14:paraId="21763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0BF6C63D">
            <w:pPr>
              <w:ind w:firstLine="0"/>
              <w:jc w:val="center"/>
            </w:pPr>
            <w:r>
              <w:rPr>
                <w:rFonts w:ascii="Times New Roman" w:hAnsi="Times New Roman" w:eastAsia="宋体"/>
                <w:b w:val="0"/>
                <w:bCs w:val="0"/>
                <w:color w:val="000000"/>
                <w:sz w:val="21"/>
                <w:szCs w:val="21"/>
              </w:rPr>
              <w:t>模型加载失败</w:t>
            </w:r>
          </w:p>
        </w:tc>
        <w:tc>
          <w:tcPr>
            <w:tcW w:w="3023" w:type="dxa"/>
            <w:tcBorders>
              <w:top w:val="nil"/>
              <w:left w:val="nil"/>
              <w:bottom w:val="nil"/>
              <w:right w:val="nil"/>
            </w:tcBorders>
            <w:shd w:val="clear" w:color="auto" w:fill="FFFFFF"/>
            <w:tcMar>
              <w:top w:w="80" w:type="dxa"/>
              <w:left w:w="120" w:type="dxa"/>
              <w:bottom w:w="80" w:type="dxa"/>
              <w:right w:w="120" w:type="dxa"/>
            </w:tcMar>
          </w:tcPr>
          <w:p w14:paraId="2C53815D">
            <w:pPr>
              <w:ind w:firstLine="0"/>
              <w:jc w:val="center"/>
            </w:pPr>
            <w:r>
              <w:rPr>
                <w:rFonts w:ascii="Times New Roman" w:hAnsi="Times New Roman" w:eastAsia="宋体"/>
                <w:b w:val="0"/>
                <w:bCs w:val="0"/>
                <w:color w:val="000000"/>
                <w:sz w:val="21"/>
                <w:szCs w:val="21"/>
              </w:rPr>
              <w:t>文件路径中包含中文字符或空格</w:t>
            </w:r>
          </w:p>
        </w:tc>
        <w:tc>
          <w:tcPr>
            <w:tcW w:w="3024" w:type="dxa"/>
            <w:tcBorders>
              <w:top w:val="nil"/>
              <w:left w:val="nil"/>
              <w:bottom w:val="nil"/>
              <w:right w:val="nil"/>
            </w:tcBorders>
            <w:shd w:val="clear" w:color="auto" w:fill="FFFFFF"/>
            <w:tcMar>
              <w:top w:w="80" w:type="dxa"/>
              <w:left w:w="120" w:type="dxa"/>
              <w:bottom w:w="80" w:type="dxa"/>
              <w:right w:w="120" w:type="dxa"/>
            </w:tcMar>
          </w:tcPr>
          <w:p w14:paraId="653F314D">
            <w:pPr>
              <w:ind w:firstLine="0"/>
              <w:jc w:val="center"/>
            </w:pPr>
            <w:r>
              <w:rPr>
                <w:rFonts w:ascii="Times New Roman" w:hAnsi="Times New Roman" w:eastAsia="宋体"/>
                <w:b w:val="0"/>
                <w:bCs w:val="0"/>
                <w:color w:val="000000"/>
                <w:sz w:val="21"/>
                <w:szCs w:val="21"/>
              </w:rPr>
              <w:t>将项目移动到纯英文路径（例如：D:\MWorksUAVDelivery_Client_Final）</w:t>
            </w:r>
          </w:p>
        </w:tc>
      </w:tr>
      <w:tr w14:paraId="7DE1E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single" w:color="000000" w:sz="12" w:space="0"/>
              <w:right w:val="nil"/>
            </w:tcBorders>
            <w:shd w:val="clear" w:color="auto" w:fill="FFFFFF"/>
            <w:tcMar>
              <w:top w:w="80" w:type="dxa"/>
              <w:left w:w="120" w:type="dxa"/>
              <w:bottom w:w="80" w:type="dxa"/>
              <w:right w:w="120" w:type="dxa"/>
            </w:tcMar>
          </w:tcPr>
          <w:p w14:paraId="6FA9D0FB">
            <w:pPr>
              <w:ind w:firstLine="0"/>
              <w:jc w:val="center"/>
            </w:pPr>
            <w:r>
              <w:rPr>
                <w:rFonts w:ascii="Times New Roman" w:hAnsi="Times New Roman" w:eastAsia="宋体"/>
                <w:b w:val="0"/>
                <w:bCs w:val="0"/>
                <w:color w:val="000000"/>
                <w:sz w:val="21"/>
                <w:szCs w:val="21"/>
              </w:rPr>
              <w:t>Dashboard.html 无法正确显示</w:t>
            </w:r>
          </w:p>
        </w:tc>
        <w:tc>
          <w:tcPr>
            <w:tcW w:w="3023" w:type="dxa"/>
            <w:tcBorders>
              <w:top w:val="nil"/>
              <w:left w:val="nil"/>
              <w:bottom w:val="single" w:color="000000" w:sz="12" w:space="0"/>
              <w:right w:val="nil"/>
            </w:tcBorders>
            <w:shd w:val="clear" w:color="auto" w:fill="FFFFFF"/>
            <w:tcMar>
              <w:top w:w="80" w:type="dxa"/>
              <w:left w:w="120" w:type="dxa"/>
              <w:bottom w:w="80" w:type="dxa"/>
              <w:right w:w="120" w:type="dxa"/>
            </w:tcMar>
          </w:tcPr>
          <w:p w14:paraId="1D14BCAD">
            <w:pPr>
              <w:ind w:firstLine="0"/>
              <w:jc w:val="center"/>
            </w:pPr>
            <w:r>
              <w:rPr>
                <w:rFonts w:ascii="Times New Roman" w:hAnsi="Times New Roman" w:eastAsia="宋体"/>
                <w:b w:val="0"/>
                <w:bCs w:val="0"/>
                <w:color w:val="000000"/>
                <w:sz w:val="21"/>
                <w:szCs w:val="21"/>
              </w:rPr>
              <w:t>浏览器兼容性问题</w:t>
            </w:r>
          </w:p>
        </w:tc>
        <w:tc>
          <w:tcPr>
            <w:tcW w:w="3024" w:type="dxa"/>
            <w:tcBorders>
              <w:top w:val="nil"/>
              <w:left w:val="nil"/>
              <w:bottom w:val="single" w:color="000000" w:sz="12" w:space="0"/>
              <w:right w:val="nil"/>
            </w:tcBorders>
            <w:shd w:val="clear" w:color="auto" w:fill="FFFFFF"/>
            <w:tcMar>
              <w:top w:w="80" w:type="dxa"/>
              <w:left w:w="120" w:type="dxa"/>
              <w:bottom w:w="80" w:type="dxa"/>
              <w:right w:w="120" w:type="dxa"/>
            </w:tcMar>
          </w:tcPr>
          <w:p w14:paraId="4187D97F">
            <w:pPr>
              <w:ind w:firstLine="0"/>
              <w:jc w:val="center"/>
            </w:pPr>
            <w:r>
              <w:rPr>
                <w:rFonts w:ascii="Times New Roman" w:hAnsi="Times New Roman" w:eastAsia="宋体"/>
                <w:b w:val="0"/>
                <w:bCs w:val="0"/>
                <w:color w:val="000000"/>
                <w:sz w:val="21"/>
                <w:szCs w:val="21"/>
              </w:rPr>
              <w:t>请使用现代浏览器（Chrome、Firefox、Edge）打开该文件</w:t>
            </w:r>
          </w:p>
        </w:tc>
      </w:tr>
    </w:tbl>
    <w:p w14:paraId="01DBED54">
      <w:pPr>
        <w:pStyle w:val="4"/>
        <w:spacing w:before="120" w:after="60" w:line="360" w:lineRule="auto"/>
        <w:ind w:firstLine="0"/>
        <w:jc w:val="left"/>
      </w:pPr>
      <w:r>
        <w:rPr>
          <w:rFonts w:ascii="Times New Roman" w:hAnsi="Times New Roman" w:eastAsia="黑体"/>
          <w:b/>
          <w:bCs/>
          <w:color w:val="000000"/>
          <w:sz w:val="24"/>
          <w:szCs w:val="24"/>
        </w:rPr>
        <w:t>7.2 验证检查清单</w:t>
      </w:r>
    </w:p>
    <w:p w14:paraId="24C236DB">
      <w:pPr>
        <w:spacing w:line="360" w:lineRule="auto"/>
        <w:ind w:firstLine="480"/>
      </w:pPr>
      <w:r>
        <w:rPr>
          <w:color w:val="000000"/>
        </w:rPr>
        <w:t>在报告重现结果之前，请核实以下项目：</w:t>
      </w:r>
    </w:p>
    <w:tbl>
      <w:tblPr>
        <w:tblStyle w:val="11"/>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23"/>
        <w:gridCol w:w="3023"/>
        <w:gridCol w:w="3024"/>
      </w:tblGrid>
      <w:tr w14:paraId="0229D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23"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379EA06B">
            <w:pPr>
              <w:ind w:firstLine="0"/>
              <w:jc w:val="center"/>
            </w:pPr>
            <w:r>
              <w:rPr>
                <w:rFonts w:ascii="Times New Roman" w:hAnsi="Times New Roman" w:eastAsia="宋体"/>
                <w:b/>
                <w:bCs/>
                <w:color w:val="000000"/>
                <w:sz w:val="21"/>
                <w:szCs w:val="21"/>
              </w:rPr>
              <w:t>检查项目</w:t>
            </w:r>
          </w:p>
        </w:tc>
        <w:tc>
          <w:tcPr>
            <w:tcW w:w="3023"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0D682CF7">
            <w:pPr>
              <w:ind w:firstLine="0"/>
              <w:jc w:val="center"/>
            </w:pPr>
            <w:r>
              <w:rPr>
                <w:rFonts w:ascii="Times New Roman" w:hAnsi="Times New Roman" w:eastAsia="宋体"/>
                <w:b/>
                <w:bCs/>
                <w:color w:val="000000"/>
                <w:sz w:val="21"/>
                <w:szCs w:val="21"/>
              </w:rPr>
              <w:t>预期结果</w:t>
            </w:r>
          </w:p>
        </w:tc>
        <w:tc>
          <w:tcPr>
            <w:tcW w:w="3024"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21CA6F39">
            <w:pPr>
              <w:ind w:firstLine="0"/>
              <w:jc w:val="center"/>
            </w:pPr>
            <w:r>
              <w:rPr>
                <w:rFonts w:ascii="Times New Roman" w:hAnsi="Times New Roman" w:eastAsia="宋体"/>
                <w:b/>
                <w:bCs/>
                <w:color w:val="000000"/>
                <w:sz w:val="21"/>
                <w:szCs w:val="21"/>
              </w:rPr>
              <w:t>验证方法</w:t>
            </w:r>
          </w:p>
        </w:tc>
      </w:tr>
      <w:tr w14:paraId="7D430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25021173">
            <w:pPr>
              <w:ind w:firstLine="0"/>
              <w:jc w:val="center"/>
            </w:pPr>
            <w:r>
              <w:rPr>
                <w:rFonts w:ascii="Times New Roman" w:hAnsi="Times New Roman" w:eastAsia="宋体"/>
                <w:b w:val="0"/>
                <w:bCs w:val="0"/>
                <w:color w:val="000000"/>
                <w:sz w:val="21"/>
                <w:szCs w:val="21"/>
              </w:rPr>
              <w:t>模型树显示正确</w:t>
            </w:r>
          </w:p>
        </w:tc>
        <w:tc>
          <w:tcPr>
            <w:tcW w:w="3023" w:type="dxa"/>
            <w:tcBorders>
              <w:top w:val="nil"/>
              <w:left w:val="nil"/>
              <w:bottom w:val="nil"/>
              <w:right w:val="nil"/>
            </w:tcBorders>
            <w:shd w:val="clear" w:color="auto" w:fill="FFFFFF"/>
            <w:tcMar>
              <w:top w:w="80" w:type="dxa"/>
              <w:left w:w="120" w:type="dxa"/>
              <w:bottom w:w="80" w:type="dxa"/>
              <w:right w:w="120" w:type="dxa"/>
            </w:tcMar>
          </w:tcPr>
          <w:p w14:paraId="6D974395">
            <w:pPr>
              <w:ind w:firstLine="0"/>
              <w:jc w:val="center"/>
            </w:pPr>
            <w:r>
              <w:rPr>
                <w:rFonts w:ascii="Times New Roman" w:hAnsi="Times New Roman" w:eastAsia="宋体"/>
                <w:b w:val="0"/>
                <w:bCs w:val="0"/>
                <w:color w:val="000000"/>
                <w:sz w:val="21"/>
                <w:szCs w:val="21"/>
              </w:rPr>
              <w:t>QuadrotorModel.Task 显示 6 个模型</w:t>
            </w:r>
          </w:p>
        </w:tc>
        <w:tc>
          <w:tcPr>
            <w:tcW w:w="3024" w:type="dxa"/>
            <w:tcBorders>
              <w:top w:val="nil"/>
              <w:left w:val="nil"/>
              <w:bottom w:val="nil"/>
              <w:right w:val="nil"/>
            </w:tcBorders>
            <w:shd w:val="clear" w:color="auto" w:fill="FFFFFF"/>
            <w:tcMar>
              <w:top w:w="80" w:type="dxa"/>
              <w:left w:w="120" w:type="dxa"/>
              <w:bottom w:w="80" w:type="dxa"/>
              <w:right w:w="120" w:type="dxa"/>
            </w:tcMar>
          </w:tcPr>
          <w:p w14:paraId="22640E4B">
            <w:pPr>
              <w:ind w:firstLine="0"/>
              <w:jc w:val="center"/>
            </w:pPr>
            <w:r>
              <w:rPr>
                <w:rFonts w:ascii="Times New Roman" w:hAnsi="Times New Roman" w:eastAsia="宋体"/>
                <w:b w:val="0"/>
                <w:bCs w:val="0"/>
                <w:color w:val="000000"/>
                <w:sz w:val="21"/>
                <w:szCs w:val="21"/>
              </w:rPr>
              <w:t>加载后进行目视检查</w:t>
            </w:r>
          </w:p>
        </w:tc>
      </w:tr>
      <w:tr w14:paraId="12423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58A7EFB2">
            <w:pPr>
              <w:ind w:firstLine="0"/>
              <w:jc w:val="center"/>
            </w:pPr>
            <w:r>
              <w:rPr>
                <w:rFonts w:ascii="Times New Roman" w:hAnsi="Times New Roman" w:eastAsia="宋体"/>
                <w:b w:val="0"/>
                <w:bCs w:val="0"/>
                <w:color w:val="000000"/>
                <w:sz w:val="21"/>
                <w:szCs w:val="21"/>
              </w:rPr>
              <w:t>爬升增强均方根误差</w:t>
            </w:r>
          </w:p>
        </w:tc>
        <w:tc>
          <w:tcPr>
            <w:tcW w:w="3023" w:type="dxa"/>
            <w:tcBorders>
              <w:top w:val="nil"/>
              <w:left w:val="nil"/>
              <w:bottom w:val="nil"/>
              <w:right w:val="nil"/>
            </w:tcBorders>
            <w:shd w:val="clear" w:color="auto" w:fill="FFFFFF"/>
            <w:tcMar>
              <w:top w:w="80" w:type="dxa"/>
              <w:left w:w="120" w:type="dxa"/>
              <w:bottom w:w="80" w:type="dxa"/>
              <w:right w:w="120" w:type="dxa"/>
            </w:tcMar>
          </w:tcPr>
          <w:p w14:paraId="68B0A9F0">
            <w:pPr>
              <w:ind w:firstLine="0"/>
              <w:jc w:val="center"/>
            </w:pPr>
            <w:r>
              <w:rPr>
                <w:rFonts w:ascii="Times New Roman" w:hAnsi="Times New Roman" w:eastAsia="宋体"/>
                <w:b w:val="0"/>
                <w:bCs w:val="0"/>
                <w:color w:val="000000"/>
                <w:sz w:val="21"/>
                <w:szCs w:val="21"/>
              </w:rPr>
              <w:t>0.228024 米</w:t>
            </w:r>
          </w:p>
        </w:tc>
        <w:tc>
          <w:tcPr>
            <w:tcW w:w="3024" w:type="dxa"/>
            <w:tcBorders>
              <w:top w:val="nil"/>
              <w:left w:val="nil"/>
              <w:bottom w:val="nil"/>
              <w:right w:val="nil"/>
            </w:tcBorders>
            <w:shd w:val="clear" w:color="auto" w:fill="FFFFFF"/>
            <w:tcMar>
              <w:top w:w="80" w:type="dxa"/>
              <w:left w:w="120" w:type="dxa"/>
              <w:bottom w:w="80" w:type="dxa"/>
              <w:right w:w="120" w:type="dxa"/>
            </w:tcMar>
          </w:tcPr>
          <w:p w14:paraId="2FDDFFD9">
            <w:pPr>
              <w:ind w:firstLine="0"/>
              <w:jc w:val="center"/>
            </w:pPr>
            <w:r>
              <w:rPr>
                <w:rFonts w:ascii="Times New Roman" w:hAnsi="Times New Roman" w:eastAsia="宋体"/>
                <w:b w:val="0"/>
                <w:bCs w:val="0"/>
                <w:color w:val="000000"/>
                <w:sz w:val="21"/>
                <w:szCs w:val="21"/>
              </w:rPr>
              <w:t>与交付仿真输出 CSV 复算对比（metrics_summary.json 已作废）</w:t>
            </w:r>
          </w:p>
        </w:tc>
      </w:tr>
      <w:tr w14:paraId="7E431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45877A57">
            <w:pPr>
              <w:ind w:firstLine="0"/>
              <w:jc w:val="center"/>
            </w:pPr>
            <w:r>
              <w:rPr>
                <w:rFonts w:ascii="Times New Roman" w:hAnsi="Times New Roman" w:eastAsia="宋体"/>
                <w:b w:val="0"/>
                <w:bCs w:val="0"/>
                <w:color w:val="000000"/>
                <w:sz w:val="21"/>
                <w:szCs w:val="21"/>
              </w:rPr>
              <w:t>螺旋飞行增强均方根误差</w:t>
            </w:r>
          </w:p>
        </w:tc>
        <w:tc>
          <w:tcPr>
            <w:tcW w:w="3023" w:type="dxa"/>
            <w:tcBorders>
              <w:top w:val="nil"/>
              <w:left w:val="nil"/>
              <w:bottom w:val="nil"/>
              <w:right w:val="nil"/>
            </w:tcBorders>
            <w:shd w:val="clear" w:color="auto" w:fill="FFFFFF"/>
            <w:tcMar>
              <w:top w:w="80" w:type="dxa"/>
              <w:left w:w="120" w:type="dxa"/>
              <w:bottom w:w="80" w:type="dxa"/>
              <w:right w:w="120" w:type="dxa"/>
            </w:tcMar>
          </w:tcPr>
          <w:p w14:paraId="5C1FDB60">
            <w:pPr>
              <w:ind w:firstLine="0"/>
              <w:jc w:val="center"/>
            </w:pPr>
            <w:r>
              <w:rPr>
                <w:rFonts w:ascii="Times New Roman" w:hAnsi="Times New Roman" w:eastAsia="宋体"/>
                <w:b w:val="0"/>
                <w:bCs w:val="0"/>
                <w:color w:val="000000"/>
                <w:sz w:val="21"/>
                <w:szCs w:val="21"/>
              </w:rPr>
              <w:t>0.474398 米</w:t>
            </w:r>
          </w:p>
        </w:tc>
        <w:tc>
          <w:tcPr>
            <w:tcW w:w="3024" w:type="dxa"/>
            <w:tcBorders>
              <w:top w:val="nil"/>
              <w:left w:val="nil"/>
              <w:bottom w:val="nil"/>
              <w:right w:val="nil"/>
            </w:tcBorders>
            <w:shd w:val="clear" w:color="auto" w:fill="FFFFFF"/>
            <w:tcMar>
              <w:top w:w="80" w:type="dxa"/>
              <w:left w:w="120" w:type="dxa"/>
              <w:bottom w:w="80" w:type="dxa"/>
              <w:right w:w="120" w:type="dxa"/>
            </w:tcMar>
          </w:tcPr>
          <w:p w14:paraId="62EAA5A2">
            <w:pPr>
              <w:ind w:firstLine="0"/>
              <w:jc w:val="center"/>
            </w:pPr>
            <w:r>
              <w:rPr>
                <w:rFonts w:ascii="Times New Roman" w:hAnsi="Times New Roman" w:eastAsia="宋体"/>
                <w:b w:val="0"/>
                <w:bCs w:val="0"/>
                <w:color w:val="000000"/>
                <w:sz w:val="21"/>
                <w:szCs w:val="21"/>
              </w:rPr>
              <w:t>与交付仿真输出 CSV 复算对比（metrics_summary.json 已作废）</w:t>
            </w:r>
          </w:p>
        </w:tc>
      </w:tr>
      <w:tr w14:paraId="0E3CA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38B487F2">
            <w:pPr>
              <w:ind w:firstLine="0"/>
              <w:jc w:val="center"/>
            </w:pPr>
            <w:r>
              <w:rPr>
                <w:rFonts w:ascii="Times New Roman" w:hAnsi="Times New Roman" w:eastAsia="宋体"/>
                <w:b w:val="0"/>
                <w:bCs w:val="0"/>
                <w:color w:val="000000"/>
                <w:sz w:val="21"/>
                <w:szCs w:val="21"/>
              </w:rPr>
              <w:t>八维增强均方根误差</w:t>
            </w:r>
          </w:p>
        </w:tc>
        <w:tc>
          <w:tcPr>
            <w:tcW w:w="3023" w:type="dxa"/>
            <w:tcBorders>
              <w:top w:val="nil"/>
              <w:left w:val="nil"/>
              <w:bottom w:val="nil"/>
              <w:right w:val="nil"/>
            </w:tcBorders>
            <w:shd w:val="clear" w:color="auto" w:fill="FFFFFF"/>
            <w:tcMar>
              <w:top w:w="80" w:type="dxa"/>
              <w:left w:w="120" w:type="dxa"/>
              <w:bottom w:w="80" w:type="dxa"/>
              <w:right w:w="120" w:type="dxa"/>
            </w:tcMar>
          </w:tcPr>
          <w:p w14:paraId="22324C5F">
            <w:pPr>
              <w:ind w:firstLine="0"/>
              <w:jc w:val="center"/>
            </w:pPr>
            <w:r>
              <w:rPr>
                <w:rFonts w:ascii="Times New Roman" w:hAnsi="Times New Roman" w:eastAsia="宋体"/>
                <w:b w:val="0"/>
                <w:bCs w:val="0"/>
                <w:color w:val="000000"/>
                <w:sz w:val="21"/>
                <w:szCs w:val="21"/>
              </w:rPr>
              <w:t>0.149095 m</w:t>
            </w:r>
          </w:p>
        </w:tc>
        <w:tc>
          <w:tcPr>
            <w:tcW w:w="3024" w:type="dxa"/>
            <w:tcBorders>
              <w:top w:val="nil"/>
              <w:left w:val="nil"/>
              <w:bottom w:val="nil"/>
              <w:right w:val="nil"/>
            </w:tcBorders>
            <w:shd w:val="clear" w:color="auto" w:fill="FFFFFF"/>
            <w:tcMar>
              <w:top w:w="80" w:type="dxa"/>
              <w:left w:w="120" w:type="dxa"/>
              <w:bottom w:w="80" w:type="dxa"/>
              <w:right w:w="120" w:type="dxa"/>
            </w:tcMar>
          </w:tcPr>
          <w:p w14:paraId="4684BA5F">
            <w:pPr>
              <w:ind w:firstLine="0"/>
              <w:jc w:val="center"/>
            </w:pPr>
            <w:r>
              <w:rPr>
                <w:rFonts w:ascii="Times New Roman" w:hAnsi="Times New Roman" w:eastAsia="宋体"/>
                <w:b w:val="0"/>
                <w:bCs w:val="0"/>
                <w:color w:val="000000"/>
                <w:sz w:val="21"/>
                <w:szCs w:val="21"/>
              </w:rPr>
              <w:t>与交付仿真输出 CSV 复算对比（metrics_summary.json 已作废）</w:t>
            </w:r>
          </w:p>
        </w:tc>
      </w:tr>
      <w:tr w14:paraId="4FA13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5D017FE5">
            <w:pPr>
              <w:ind w:firstLine="0"/>
              <w:jc w:val="center"/>
            </w:pPr>
            <w:r>
              <w:rPr>
                <w:rFonts w:ascii="Times New Roman" w:hAnsi="Times New Roman" w:eastAsia="宋体"/>
                <w:b w:val="0"/>
                <w:bCs w:val="0"/>
                <w:color w:val="000000"/>
                <w:sz w:val="21"/>
                <w:szCs w:val="21"/>
              </w:rPr>
              <w:t>步进超调（增强型）</w:t>
            </w:r>
          </w:p>
        </w:tc>
        <w:tc>
          <w:tcPr>
            <w:tcW w:w="3023" w:type="dxa"/>
            <w:tcBorders>
              <w:top w:val="nil"/>
              <w:left w:val="nil"/>
              <w:bottom w:val="nil"/>
              <w:right w:val="nil"/>
            </w:tcBorders>
            <w:shd w:val="clear" w:color="auto" w:fill="FFFFFF"/>
            <w:tcMar>
              <w:top w:w="80" w:type="dxa"/>
              <w:left w:w="120" w:type="dxa"/>
              <w:bottom w:w="80" w:type="dxa"/>
              <w:right w:w="120" w:type="dxa"/>
            </w:tcMar>
          </w:tcPr>
          <w:p w14:paraId="53F7ACB4">
            <w:pPr>
              <w:ind w:firstLine="0"/>
              <w:jc w:val="center"/>
            </w:pPr>
            <w:r>
              <w:rPr>
                <w:rFonts w:ascii="Times New Roman" w:hAnsi="Times New Roman" w:eastAsia="宋体"/>
                <w:b w:val="0"/>
                <w:bCs w:val="0"/>
                <w:color w:val="000000"/>
                <w:sz w:val="21"/>
                <w:szCs w:val="21"/>
              </w:rPr>
              <w:t>1.525%</w:t>
            </w:r>
          </w:p>
        </w:tc>
        <w:tc>
          <w:tcPr>
            <w:tcW w:w="3024" w:type="dxa"/>
            <w:tcBorders>
              <w:top w:val="nil"/>
              <w:left w:val="nil"/>
              <w:bottom w:val="nil"/>
              <w:right w:val="nil"/>
            </w:tcBorders>
            <w:shd w:val="clear" w:color="auto" w:fill="FFFFFF"/>
            <w:tcMar>
              <w:top w:w="80" w:type="dxa"/>
              <w:left w:w="120" w:type="dxa"/>
              <w:bottom w:w="80" w:type="dxa"/>
              <w:right w:w="120" w:type="dxa"/>
            </w:tcMar>
          </w:tcPr>
          <w:p w14:paraId="26A28770">
            <w:pPr>
              <w:ind w:firstLine="0"/>
              <w:jc w:val="center"/>
            </w:pPr>
            <w:r>
              <w:rPr>
                <w:rFonts w:ascii="Times New Roman" w:hAnsi="Times New Roman" w:eastAsia="宋体"/>
                <w:b w:val="0"/>
                <w:bCs w:val="0"/>
                <w:color w:val="000000"/>
                <w:sz w:val="21"/>
                <w:szCs w:val="21"/>
              </w:rPr>
              <w:t>检查动态响应输出</w:t>
            </w:r>
          </w:p>
        </w:tc>
      </w:tr>
      <w:tr w14:paraId="40F6F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57DB8F50">
            <w:pPr>
              <w:ind w:firstLine="0"/>
              <w:jc w:val="center"/>
            </w:pPr>
            <w:r>
              <w:rPr>
                <w:rFonts w:ascii="Times New Roman" w:hAnsi="Times New Roman" w:eastAsia="宋体"/>
                <w:b w:val="0"/>
                <w:bCs w:val="0"/>
                <w:color w:val="000000"/>
                <w:sz w:val="21"/>
                <w:szCs w:val="21"/>
              </w:rPr>
              <w:t>安全链风险点</w:t>
            </w:r>
          </w:p>
        </w:tc>
        <w:tc>
          <w:tcPr>
            <w:tcW w:w="3023" w:type="dxa"/>
            <w:tcBorders>
              <w:top w:val="nil"/>
              <w:left w:val="nil"/>
              <w:bottom w:val="nil"/>
              <w:right w:val="nil"/>
            </w:tcBorders>
            <w:shd w:val="clear" w:color="auto" w:fill="FFFFFF"/>
            <w:tcMar>
              <w:top w:w="80" w:type="dxa"/>
              <w:left w:w="120" w:type="dxa"/>
              <w:bottom w:w="80" w:type="dxa"/>
              <w:right w:w="120" w:type="dxa"/>
            </w:tcMar>
          </w:tcPr>
          <w:p w14:paraId="028CBEA2">
            <w:pPr>
              <w:ind w:firstLine="0"/>
              <w:jc w:val="center"/>
            </w:pPr>
            <w:r>
              <w:rPr>
                <w:rFonts w:ascii="Times New Roman" w:hAnsi="Times New Roman" w:eastAsia="宋体"/>
                <w:b w:val="0"/>
                <w:bCs w:val="0"/>
                <w:color w:val="000000"/>
                <w:sz w:val="21"/>
                <w:szCs w:val="21"/>
              </w:rPr>
              <w:t>未接入回路，无数据</w:t>
            </w:r>
          </w:p>
        </w:tc>
        <w:tc>
          <w:tcPr>
            <w:tcW w:w="3024" w:type="dxa"/>
            <w:tcBorders>
              <w:top w:val="nil"/>
              <w:left w:val="nil"/>
              <w:bottom w:val="nil"/>
              <w:right w:val="nil"/>
            </w:tcBorders>
            <w:shd w:val="clear" w:color="auto" w:fill="FFFFFF"/>
            <w:tcMar>
              <w:top w:w="80" w:type="dxa"/>
              <w:left w:w="120" w:type="dxa"/>
              <w:bottom w:w="80" w:type="dxa"/>
              <w:right w:w="120" w:type="dxa"/>
            </w:tcMar>
          </w:tcPr>
          <w:p w14:paraId="2FDCF942">
            <w:pPr>
              <w:ind w:firstLine="0"/>
              <w:jc w:val="center"/>
            </w:pPr>
            <w:r>
              <w:rPr>
                <w:rFonts w:ascii="Times New Roman" w:hAnsi="Times New Roman" w:eastAsia="宋体"/>
                <w:b w:val="0"/>
                <w:bCs w:val="0"/>
                <w:color w:val="000000"/>
                <w:sz w:val="21"/>
                <w:szCs w:val="21"/>
              </w:rPr>
              <w:t>该项已作废，参见 5.7 节</w:t>
            </w:r>
          </w:p>
        </w:tc>
      </w:tr>
      <w:tr w14:paraId="5C5D1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single" w:color="000000" w:sz="12" w:space="0"/>
              <w:right w:val="nil"/>
            </w:tcBorders>
            <w:shd w:val="clear" w:color="auto" w:fill="FFFFFF"/>
            <w:tcMar>
              <w:top w:w="80" w:type="dxa"/>
              <w:left w:w="120" w:type="dxa"/>
              <w:bottom w:w="80" w:type="dxa"/>
              <w:right w:w="120" w:type="dxa"/>
            </w:tcMar>
          </w:tcPr>
          <w:p w14:paraId="45171F9A">
            <w:pPr>
              <w:ind w:firstLine="0"/>
              <w:jc w:val="center"/>
            </w:pPr>
            <w:r>
              <w:rPr>
                <w:rFonts w:ascii="Times New Roman" w:hAnsi="Times New Roman" w:eastAsia="宋体"/>
                <w:b w:val="0"/>
                <w:bCs w:val="0"/>
                <w:color w:val="000000"/>
                <w:sz w:val="21"/>
                <w:szCs w:val="21"/>
              </w:rPr>
              <w:t>P95性能退化（所有场景）</w:t>
            </w:r>
          </w:p>
        </w:tc>
        <w:tc>
          <w:tcPr>
            <w:tcW w:w="3023" w:type="dxa"/>
            <w:tcBorders>
              <w:top w:val="nil"/>
              <w:left w:val="nil"/>
              <w:bottom w:val="single" w:color="000000" w:sz="12" w:space="0"/>
              <w:right w:val="nil"/>
            </w:tcBorders>
            <w:shd w:val="clear" w:color="auto" w:fill="FFFFFF"/>
            <w:tcMar>
              <w:top w:w="80" w:type="dxa"/>
              <w:left w:w="120" w:type="dxa"/>
              <w:bottom w:w="80" w:type="dxa"/>
              <w:right w:w="120" w:type="dxa"/>
            </w:tcMar>
          </w:tcPr>
          <w:p w14:paraId="15B913A2">
            <w:pPr>
              <w:ind w:firstLine="0"/>
              <w:jc w:val="center"/>
            </w:pPr>
            <w:r>
              <w:rPr>
                <w:rFonts w:ascii="Times New Roman" w:hAnsi="Times New Roman" w:eastAsia="宋体"/>
                <w:b w:val="0"/>
                <w:bCs w:val="0"/>
                <w:color w:val="000000"/>
                <w:sz w:val="21"/>
                <w:szCs w:val="21"/>
              </w:rPr>
              <w:t>未验证；原始 P95 为 52.84% / 54.14% / 55.32%，高于 15% 阈值</w:t>
            </w:r>
          </w:p>
        </w:tc>
        <w:tc>
          <w:tcPr>
            <w:tcW w:w="3024" w:type="dxa"/>
            <w:tcBorders>
              <w:top w:val="nil"/>
              <w:left w:val="nil"/>
              <w:bottom w:val="single" w:color="000000" w:sz="12" w:space="0"/>
              <w:right w:val="nil"/>
            </w:tcBorders>
            <w:shd w:val="clear" w:color="auto" w:fill="FFFFFF"/>
            <w:tcMar>
              <w:top w:w="80" w:type="dxa"/>
              <w:left w:w="120" w:type="dxa"/>
              <w:bottom w:w="80" w:type="dxa"/>
              <w:right w:w="120" w:type="dxa"/>
            </w:tcMar>
          </w:tcPr>
          <w:p w14:paraId="4DDFF121">
            <w:pPr>
              <w:ind w:firstLine="0"/>
              <w:jc w:val="center"/>
            </w:pPr>
            <w:r>
              <w:rPr>
                <w:rFonts w:ascii="Times New Roman" w:hAnsi="Times New Roman" w:eastAsia="宋体"/>
                <w:b w:val="0"/>
                <w:bCs w:val="0"/>
                <w:color w:val="000000"/>
                <w:sz w:val="21"/>
                <w:szCs w:val="21"/>
              </w:rPr>
              <w:t>该项已作废，参见 5.7 节</w:t>
            </w:r>
          </w:p>
        </w:tc>
      </w:tr>
    </w:tbl>
    <w:p w14:paraId="76F22826">
      <w:pPr>
        <w:pStyle w:val="3"/>
        <w:spacing w:before="180" w:after="90" w:line="360" w:lineRule="auto"/>
        <w:ind w:firstLine="0"/>
        <w:jc w:val="left"/>
        <w:rPr>
          <w:rFonts w:ascii="Times New Roman" w:hAnsi="Times New Roman" w:eastAsia="黑体"/>
          <w:b/>
          <w:bCs/>
          <w:color w:val="000000"/>
          <w:sz w:val="30"/>
          <w:szCs w:val="30"/>
        </w:rPr>
      </w:pPr>
    </w:p>
    <w:p w14:paraId="06809CD5">
      <w:pPr>
        <w:pStyle w:val="3"/>
        <w:spacing w:before="180" w:after="90" w:line="360" w:lineRule="auto"/>
        <w:ind w:firstLine="0"/>
        <w:jc w:val="left"/>
      </w:pPr>
      <w:r>
        <w:rPr>
          <w:rFonts w:ascii="Times New Roman" w:hAnsi="Times New Roman" w:eastAsia="黑体"/>
          <w:b/>
          <w:bCs/>
          <w:color w:val="000000"/>
          <w:sz w:val="30"/>
          <w:szCs w:val="30"/>
        </w:rPr>
        <w:t>8. 技术参数参考</w:t>
      </w:r>
    </w:p>
    <w:p w14:paraId="56D9BDAE">
      <w:pPr>
        <w:pStyle w:val="4"/>
        <w:spacing w:before="120" w:after="60" w:line="360" w:lineRule="auto"/>
        <w:ind w:firstLine="0"/>
        <w:jc w:val="left"/>
      </w:pPr>
      <w:r>
        <w:rPr>
          <w:rFonts w:ascii="Times New Roman" w:hAnsi="Times New Roman" w:eastAsia="黑体"/>
          <w:b/>
          <w:bCs/>
          <w:color w:val="000000"/>
          <w:sz w:val="24"/>
          <w:szCs w:val="24"/>
        </w:rPr>
        <w:t>8.1 完整参数配置</w:t>
      </w:r>
    </w:p>
    <w:tbl>
      <w:tblPr>
        <w:tblStyle w:val="11"/>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23"/>
        <w:gridCol w:w="3023"/>
        <w:gridCol w:w="3024"/>
      </w:tblGrid>
      <w:tr w14:paraId="0E0F2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23"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0CF0319D">
            <w:pPr>
              <w:ind w:firstLine="0"/>
              <w:jc w:val="center"/>
            </w:pPr>
            <w:r>
              <w:rPr>
                <w:rFonts w:ascii="Times New Roman" w:hAnsi="Times New Roman" w:eastAsia="宋体"/>
                <w:b/>
                <w:bCs/>
                <w:color w:val="000000"/>
                <w:sz w:val="21"/>
                <w:szCs w:val="21"/>
              </w:rPr>
              <w:t>参数</w:t>
            </w:r>
          </w:p>
        </w:tc>
        <w:tc>
          <w:tcPr>
            <w:tcW w:w="3023"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51F7B780">
            <w:pPr>
              <w:ind w:firstLine="0"/>
              <w:jc w:val="center"/>
            </w:pPr>
            <w:r>
              <w:rPr>
                <w:rFonts w:ascii="Times New Roman" w:hAnsi="Times New Roman" w:eastAsia="宋体"/>
                <w:b/>
                <w:bCs/>
                <w:color w:val="000000"/>
                <w:sz w:val="21"/>
                <w:szCs w:val="21"/>
              </w:rPr>
              <w:t>值</w:t>
            </w:r>
          </w:p>
        </w:tc>
        <w:tc>
          <w:tcPr>
            <w:tcW w:w="3024"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5EF61903">
            <w:pPr>
              <w:ind w:firstLine="0"/>
              <w:jc w:val="center"/>
            </w:pPr>
            <w:r>
              <w:rPr>
                <w:rFonts w:ascii="Times New Roman" w:hAnsi="Times New Roman" w:eastAsia="宋体"/>
                <w:b/>
                <w:bCs/>
                <w:color w:val="000000"/>
                <w:sz w:val="21"/>
                <w:szCs w:val="21"/>
              </w:rPr>
              <w:t>备注</w:t>
            </w:r>
          </w:p>
        </w:tc>
      </w:tr>
      <w:tr w14:paraId="3AB28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29F7CD7C">
            <w:pPr>
              <w:ind w:firstLine="0"/>
              <w:jc w:val="center"/>
            </w:pPr>
            <w:r>
              <w:rPr>
                <w:rFonts w:ascii="Times New Roman" w:hAnsi="Times New Roman" w:eastAsia="宋体"/>
                <w:b w:val="0"/>
                <w:bCs w:val="0"/>
                <w:color w:val="000000"/>
                <w:sz w:val="21"/>
                <w:szCs w:val="21"/>
              </w:rPr>
              <w:t>求解器算法</w:t>
            </w:r>
          </w:p>
        </w:tc>
        <w:tc>
          <w:tcPr>
            <w:tcW w:w="3023" w:type="dxa"/>
            <w:tcBorders>
              <w:top w:val="nil"/>
              <w:left w:val="nil"/>
              <w:bottom w:val="nil"/>
              <w:right w:val="nil"/>
            </w:tcBorders>
            <w:shd w:val="clear" w:color="auto" w:fill="FFFFFF"/>
            <w:tcMar>
              <w:top w:w="80" w:type="dxa"/>
              <w:left w:w="120" w:type="dxa"/>
              <w:bottom w:w="80" w:type="dxa"/>
              <w:right w:w="120" w:type="dxa"/>
            </w:tcMar>
          </w:tcPr>
          <w:p w14:paraId="77A8E8AF">
            <w:pPr>
              <w:ind w:firstLine="0"/>
              <w:jc w:val="center"/>
            </w:pPr>
            <w:r>
              <w:rPr>
                <w:rFonts w:ascii="Times New Roman" w:hAnsi="Times New Roman" w:eastAsia="宋体"/>
                <w:b w:val="0"/>
                <w:bCs w:val="0"/>
                <w:color w:val="000000"/>
                <w:sz w:val="21"/>
                <w:szCs w:val="21"/>
              </w:rPr>
              <w:t>Dassl</w:t>
            </w:r>
          </w:p>
        </w:tc>
        <w:tc>
          <w:tcPr>
            <w:tcW w:w="3024" w:type="dxa"/>
            <w:tcBorders>
              <w:top w:val="nil"/>
              <w:left w:val="nil"/>
              <w:bottom w:val="nil"/>
              <w:right w:val="nil"/>
            </w:tcBorders>
            <w:shd w:val="clear" w:color="auto" w:fill="FFFFFF"/>
            <w:tcMar>
              <w:top w:w="80" w:type="dxa"/>
              <w:left w:w="120" w:type="dxa"/>
              <w:bottom w:w="80" w:type="dxa"/>
              <w:right w:w="120" w:type="dxa"/>
            </w:tcMar>
          </w:tcPr>
          <w:p w14:paraId="44C32445">
            <w:pPr>
              <w:ind w:firstLine="0"/>
              <w:jc w:val="center"/>
            </w:pPr>
            <w:r>
              <w:rPr>
                <w:rFonts w:ascii="Times New Roman" w:hAnsi="Times New Roman" w:eastAsia="宋体"/>
                <w:b w:val="0"/>
                <w:bCs w:val="0"/>
                <w:color w:val="000000"/>
                <w:sz w:val="21"/>
                <w:szCs w:val="21"/>
              </w:rPr>
              <w:t>隐式可变步长求解器</w:t>
            </w:r>
          </w:p>
        </w:tc>
      </w:tr>
      <w:tr w14:paraId="3D7DE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7F4887B9">
            <w:pPr>
              <w:ind w:firstLine="0"/>
              <w:jc w:val="center"/>
            </w:pPr>
            <w:r>
              <w:rPr>
                <w:rFonts w:ascii="Times New Roman" w:hAnsi="Times New Roman" w:eastAsia="宋体"/>
                <w:b w:val="0"/>
                <w:bCs w:val="0"/>
                <w:color w:val="000000"/>
                <w:sz w:val="21"/>
                <w:szCs w:val="21"/>
              </w:rPr>
              <w:t>爬升/螺旋模拟时间</w:t>
            </w:r>
          </w:p>
        </w:tc>
        <w:tc>
          <w:tcPr>
            <w:tcW w:w="3023" w:type="dxa"/>
            <w:tcBorders>
              <w:top w:val="nil"/>
              <w:left w:val="nil"/>
              <w:bottom w:val="nil"/>
              <w:right w:val="nil"/>
            </w:tcBorders>
            <w:shd w:val="clear" w:color="auto" w:fill="FFFFFF"/>
            <w:tcMar>
              <w:top w:w="80" w:type="dxa"/>
              <w:left w:w="120" w:type="dxa"/>
              <w:bottom w:w="80" w:type="dxa"/>
              <w:right w:w="120" w:type="dxa"/>
            </w:tcMar>
          </w:tcPr>
          <w:p w14:paraId="4F4E3A87">
            <w:pPr>
              <w:ind w:firstLine="0"/>
              <w:jc w:val="center"/>
            </w:pPr>
            <w:r>
              <w:rPr>
                <w:rFonts w:ascii="Times New Roman" w:hAnsi="Times New Roman" w:eastAsia="宋体"/>
                <w:b w:val="0"/>
                <w:bCs w:val="0"/>
                <w:color w:val="000000"/>
                <w:sz w:val="21"/>
                <w:szCs w:val="21"/>
              </w:rPr>
              <w:t>0-50 秒</w:t>
            </w:r>
          </w:p>
        </w:tc>
        <w:tc>
          <w:tcPr>
            <w:tcW w:w="3024" w:type="dxa"/>
            <w:tcBorders>
              <w:top w:val="nil"/>
              <w:left w:val="nil"/>
              <w:bottom w:val="nil"/>
              <w:right w:val="nil"/>
            </w:tcBorders>
            <w:shd w:val="clear" w:color="auto" w:fill="FFFFFF"/>
            <w:tcMar>
              <w:top w:w="80" w:type="dxa"/>
              <w:left w:w="120" w:type="dxa"/>
              <w:bottom w:w="80" w:type="dxa"/>
              <w:right w:w="120" w:type="dxa"/>
            </w:tcMar>
          </w:tcPr>
          <w:p w14:paraId="663F65D4">
            <w:pPr>
              <w:ind w:firstLine="0"/>
              <w:jc w:val="center"/>
            </w:pPr>
            <w:r>
              <w:rPr>
                <w:rFonts w:ascii="Times New Roman" w:hAnsi="Times New Roman" w:eastAsia="宋体"/>
                <w:b w:val="0"/>
                <w:bCs w:val="0"/>
                <w:color w:val="000000"/>
                <w:sz w:val="21"/>
                <w:szCs w:val="21"/>
              </w:rPr>
              <w:t>两种场景的持续时间相同</w:t>
            </w:r>
          </w:p>
        </w:tc>
      </w:tr>
      <w:tr w14:paraId="355D1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1F9551FA">
            <w:pPr>
              <w:ind w:firstLine="0"/>
              <w:jc w:val="center"/>
            </w:pPr>
            <w:r>
              <w:rPr>
                <w:rFonts w:ascii="Times New Roman" w:hAnsi="Times New Roman" w:eastAsia="宋体"/>
                <w:b w:val="0"/>
                <w:bCs w:val="0"/>
                <w:color w:val="000000"/>
                <w:sz w:val="21"/>
                <w:szCs w:val="21"/>
              </w:rPr>
              <w:t>“8”字形模拟时间</w:t>
            </w:r>
          </w:p>
        </w:tc>
        <w:tc>
          <w:tcPr>
            <w:tcW w:w="3023" w:type="dxa"/>
            <w:tcBorders>
              <w:top w:val="nil"/>
              <w:left w:val="nil"/>
              <w:bottom w:val="nil"/>
              <w:right w:val="nil"/>
            </w:tcBorders>
            <w:shd w:val="clear" w:color="auto" w:fill="FFFFFF"/>
            <w:tcMar>
              <w:top w:w="80" w:type="dxa"/>
              <w:left w:w="120" w:type="dxa"/>
              <w:bottom w:w="80" w:type="dxa"/>
              <w:right w:w="120" w:type="dxa"/>
            </w:tcMar>
          </w:tcPr>
          <w:p w14:paraId="79AC1FC6">
            <w:pPr>
              <w:ind w:firstLine="0"/>
              <w:jc w:val="center"/>
            </w:pPr>
            <w:r>
              <w:rPr>
                <w:rFonts w:ascii="Times New Roman" w:hAnsi="Times New Roman" w:eastAsia="宋体"/>
                <w:b w:val="0"/>
                <w:bCs w:val="0"/>
                <w:color w:val="000000"/>
                <w:sz w:val="21"/>
                <w:szCs w:val="21"/>
              </w:rPr>
              <w:t>0-120 秒</w:t>
            </w:r>
          </w:p>
        </w:tc>
        <w:tc>
          <w:tcPr>
            <w:tcW w:w="3024" w:type="dxa"/>
            <w:tcBorders>
              <w:top w:val="nil"/>
              <w:left w:val="nil"/>
              <w:bottom w:val="nil"/>
              <w:right w:val="nil"/>
            </w:tcBorders>
            <w:shd w:val="clear" w:color="auto" w:fill="FFFFFF"/>
            <w:tcMar>
              <w:top w:w="80" w:type="dxa"/>
              <w:left w:w="120" w:type="dxa"/>
              <w:bottom w:w="80" w:type="dxa"/>
              <w:right w:w="120" w:type="dxa"/>
            </w:tcMar>
          </w:tcPr>
          <w:p w14:paraId="7D3B1465">
            <w:pPr>
              <w:ind w:firstLine="0"/>
              <w:jc w:val="center"/>
            </w:pPr>
            <w:r>
              <w:rPr>
                <w:rFonts w:ascii="Times New Roman" w:hAnsi="Times New Roman" w:eastAsia="宋体"/>
                <w:b w:val="0"/>
                <w:bCs w:val="0"/>
                <w:color w:val="000000"/>
                <w:sz w:val="21"/>
                <w:szCs w:val="21"/>
              </w:rPr>
              <w:t>延长以实现完整的周期性覆盖</w:t>
            </w:r>
          </w:p>
        </w:tc>
      </w:tr>
      <w:tr w14:paraId="2DC7F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7783E94C">
            <w:pPr>
              <w:ind w:firstLine="0"/>
              <w:jc w:val="center"/>
            </w:pPr>
            <w:r>
              <w:rPr>
                <w:rFonts w:ascii="Times New Roman" w:hAnsi="Times New Roman" w:eastAsia="宋体"/>
                <w:b w:val="0"/>
                <w:bCs w:val="0"/>
                <w:color w:val="000000"/>
                <w:sz w:val="21"/>
                <w:szCs w:val="21"/>
              </w:rPr>
              <w:t>采样间隔</w:t>
            </w:r>
          </w:p>
        </w:tc>
        <w:tc>
          <w:tcPr>
            <w:tcW w:w="3023" w:type="dxa"/>
            <w:tcBorders>
              <w:top w:val="nil"/>
              <w:left w:val="nil"/>
              <w:bottom w:val="nil"/>
              <w:right w:val="nil"/>
            </w:tcBorders>
            <w:shd w:val="clear" w:color="auto" w:fill="FFFFFF"/>
            <w:tcMar>
              <w:top w:w="80" w:type="dxa"/>
              <w:left w:w="120" w:type="dxa"/>
              <w:bottom w:w="80" w:type="dxa"/>
              <w:right w:w="120" w:type="dxa"/>
            </w:tcMar>
          </w:tcPr>
          <w:p w14:paraId="2810E9B6">
            <w:pPr>
              <w:ind w:firstLine="0"/>
              <w:jc w:val="center"/>
            </w:pPr>
            <w:r>
              <w:rPr>
                <w:rFonts w:ascii="Times New Roman" w:hAnsi="Times New Roman" w:eastAsia="宋体"/>
                <w:b w:val="0"/>
                <w:bCs w:val="0"/>
                <w:color w:val="000000"/>
                <w:sz w:val="21"/>
                <w:szCs w:val="21"/>
              </w:rPr>
              <w:t>0.01 s</w:t>
            </w:r>
          </w:p>
        </w:tc>
        <w:tc>
          <w:tcPr>
            <w:tcW w:w="3024" w:type="dxa"/>
            <w:tcBorders>
              <w:top w:val="nil"/>
              <w:left w:val="nil"/>
              <w:bottom w:val="nil"/>
              <w:right w:val="nil"/>
            </w:tcBorders>
            <w:shd w:val="clear" w:color="auto" w:fill="FFFFFF"/>
            <w:tcMar>
              <w:top w:w="80" w:type="dxa"/>
              <w:left w:w="120" w:type="dxa"/>
              <w:bottom w:w="80" w:type="dxa"/>
              <w:right w:w="120" w:type="dxa"/>
            </w:tcMar>
          </w:tcPr>
          <w:p w14:paraId="75F3E6D1">
            <w:pPr>
              <w:ind w:firstLine="0"/>
              <w:jc w:val="center"/>
            </w:pPr>
            <w:r>
              <w:rPr>
                <w:rFonts w:ascii="Times New Roman" w:hAnsi="Times New Roman" w:eastAsia="宋体"/>
                <w:b w:val="0"/>
                <w:bCs w:val="0"/>
                <w:color w:val="000000"/>
                <w:sz w:val="21"/>
                <w:szCs w:val="21"/>
              </w:rPr>
              <w:t>固定输出间隔</w:t>
            </w:r>
          </w:p>
        </w:tc>
      </w:tr>
      <w:tr w14:paraId="18F6F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0D9CDFF2">
            <w:pPr>
              <w:ind w:firstLine="0"/>
              <w:jc w:val="center"/>
            </w:pPr>
            <w:r>
              <w:rPr>
                <w:rFonts w:ascii="Times New Roman" w:hAnsi="Times New Roman" w:eastAsia="宋体"/>
                <w:b w:val="0"/>
                <w:bCs w:val="0"/>
                <w:color w:val="000000"/>
                <w:sz w:val="21"/>
                <w:szCs w:val="21"/>
              </w:rPr>
              <w:t>公差</w:t>
            </w:r>
          </w:p>
        </w:tc>
        <w:tc>
          <w:tcPr>
            <w:tcW w:w="3023" w:type="dxa"/>
            <w:tcBorders>
              <w:top w:val="nil"/>
              <w:left w:val="nil"/>
              <w:bottom w:val="nil"/>
              <w:right w:val="nil"/>
            </w:tcBorders>
            <w:shd w:val="clear" w:color="auto" w:fill="FFFFFF"/>
            <w:tcMar>
              <w:top w:w="80" w:type="dxa"/>
              <w:left w:w="120" w:type="dxa"/>
              <w:bottom w:w="80" w:type="dxa"/>
              <w:right w:w="120" w:type="dxa"/>
            </w:tcMar>
          </w:tcPr>
          <w:p w14:paraId="3C5B9608">
            <w:pPr>
              <w:ind w:firstLine="0"/>
              <w:jc w:val="center"/>
            </w:pPr>
            <w:r>
              <w:rPr>
                <w:rFonts w:ascii="Times New Roman" w:hAnsi="Times New Roman" w:eastAsia="宋体"/>
                <w:b w:val="0"/>
                <w:bCs w:val="0"/>
                <w:color w:val="000000"/>
                <w:sz w:val="21"/>
                <w:szCs w:val="21"/>
              </w:rPr>
              <w:t>0.0001</w:t>
            </w:r>
          </w:p>
        </w:tc>
        <w:tc>
          <w:tcPr>
            <w:tcW w:w="3024" w:type="dxa"/>
            <w:tcBorders>
              <w:top w:val="nil"/>
              <w:left w:val="nil"/>
              <w:bottom w:val="nil"/>
              <w:right w:val="nil"/>
            </w:tcBorders>
            <w:shd w:val="clear" w:color="auto" w:fill="FFFFFF"/>
            <w:tcMar>
              <w:top w:w="80" w:type="dxa"/>
              <w:left w:w="120" w:type="dxa"/>
              <w:bottom w:w="80" w:type="dxa"/>
              <w:right w:w="120" w:type="dxa"/>
            </w:tcMar>
          </w:tcPr>
          <w:p w14:paraId="5C04CBF7">
            <w:pPr>
              <w:ind w:firstLine="0"/>
              <w:jc w:val="center"/>
            </w:pPr>
            <w:r>
              <w:rPr>
                <w:rFonts w:ascii="Times New Roman" w:hAnsi="Times New Roman" w:eastAsia="宋体"/>
                <w:b w:val="0"/>
                <w:bCs w:val="0"/>
                <w:color w:val="000000"/>
                <w:sz w:val="21"/>
                <w:szCs w:val="21"/>
              </w:rPr>
              <w:t>求解器误差容差</w:t>
            </w:r>
          </w:p>
        </w:tc>
      </w:tr>
      <w:tr w14:paraId="7C708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0C43746C">
            <w:pPr>
              <w:ind w:firstLine="0"/>
              <w:jc w:val="center"/>
            </w:pPr>
            <w:r>
              <w:rPr>
                <w:rFonts w:ascii="Times New Roman" w:hAnsi="Times New Roman" w:eastAsia="宋体"/>
                <w:b w:val="0"/>
                <w:bCs w:val="0"/>
                <w:color w:val="000000"/>
                <w:sz w:val="21"/>
                <w:szCs w:val="21"/>
              </w:rPr>
              <w:t>姿态安全阈值</w:t>
            </w:r>
          </w:p>
        </w:tc>
        <w:tc>
          <w:tcPr>
            <w:tcW w:w="3023" w:type="dxa"/>
            <w:tcBorders>
              <w:top w:val="nil"/>
              <w:left w:val="nil"/>
              <w:bottom w:val="nil"/>
              <w:right w:val="nil"/>
            </w:tcBorders>
            <w:shd w:val="clear" w:color="auto" w:fill="FFFFFF"/>
            <w:tcMar>
              <w:top w:w="80" w:type="dxa"/>
              <w:left w:w="120" w:type="dxa"/>
              <w:bottom w:w="80" w:type="dxa"/>
              <w:right w:w="120" w:type="dxa"/>
            </w:tcMar>
          </w:tcPr>
          <w:p w14:paraId="172F3073">
            <w:pPr>
              <w:ind w:firstLine="0"/>
              <w:jc w:val="center"/>
            </w:pPr>
            <w:r>
              <w:rPr>
                <w:rFonts w:ascii="Times New Roman" w:hAnsi="Times New Roman" w:eastAsia="宋体"/>
                <w:b w:val="0"/>
                <w:bCs w:val="0"/>
                <w:color w:val="000000"/>
                <w:sz w:val="21"/>
                <w:szCs w:val="21"/>
              </w:rPr>
              <w:t>15 度</w:t>
            </w:r>
          </w:p>
        </w:tc>
        <w:tc>
          <w:tcPr>
            <w:tcW w:w="3024" w:type="dxa"/>
            <w:tcBorders>
              <w:top w:val="nil"/>
              <w:left w:val="nil"/>
              <w:bottom w:val="nil"/>
              <w:right w:val="nil"/>
            </w:tcBorders>
            <w:shd w:val="clear" w:color="auto" w:fill="FFFFFF"/>
            <w:tcMar>
              <w:top w:w="80" w:type="dxa"/>
              <w:left w:w="120" w:type="dxa"/>
              <w:bottom w:w="80" w:type="dxa"/>
              <w:right w:w="120" w:type="dxa"/>
            </w:tcMar>
          </w:tcPr>
          <w:p w14:paraId="27305D01">
            <w:pPr>
              <w:ind w:firstLine="0"/>
              <w:jc w:val="center"/>
            </w:pPr>
            <w:r>
              <w:rPr>
                <w:rFonts w:ascii="Times New Roman" w:hAnsi="Times New Roman" w:eastAsia="宋体"/>
                <w:b w:val="0"/>
                <w:bCs w:val="0"/>
                <w:color w:val="000000"/>
                <w:sz w:val="21"/>
                <w:szCs w:val="21"/>
              </w:rPr>
              <w:t>CBF约束边界</w:t>
            </w:r>
          </w:p>
        </w:tc>
      </w:tr>
      <w:tr w14:paraId="45B12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5529BBCD">
            <w:pPr>
              <w:ind w:firstLine="0"/>
              <w:jc w:val="center"/>
            </w:pPr>
            <w:r>
              <w:rPr>
                <w:rFonts w:ascii="Times New Roman" w:hAnsi="Times New Roman" w:eastAsia="宋体"/>
                <w:b w:val="0"/>
                <w:bCs w:val="0"/>
                <w:color w:val="000000"/>
                <w:sz w:val="21"/>
                <w:szCs w:val="21"/>
              </w:rPr>
              <w:t>平台</w:t>
            </w:r>
          </w:p>
        </w:tc>
        <w:tc>
          <w:tcPr>
            <w:tcW w:w="3023" w:type="dxa"/>
            <w:tcBorders>
              <w:top w:val="nil"/>
              <w:left w:val="nil"/>
              <w:bottom w:val="nil"/>
              <w:right w:val="nil"/>
            </w:tcBorders>
            <w:shd w:val="clear" w:color="auto" w:fill="FFFFFF"/>
            <w:tcMar>
              <w:top w:w="80" w:type="dxa"/>
              <w:left w:w="120" w:type="dxa"/>
              <w:bottom w:w="80" w:type="dxa"/>
              <w:right w:w="120" w:type="dxa"/>
            </w:tcMar>
          </w:tcPr>
          <w:p w14:paraId="3A8ED7FB">
            <w:pPr>
              <w:ind w:firstLine="0"/>
              <w:jc w:val="center"/>
            </w:pPr>
            <w:r>
              <w:rPr>
                <w:rFonts w:ascii="Times New Roman" w:hAnsi="Times New Roman" w:eastAsia="宋体"/>
                <w:b w:val="0"/>
                <w:bCs w:val="0"/>
                <w:color w:val="000000"/>
                <w:sz w:val="21"/>
                <w:szCs w:val="21"/>
              </w:rPr>
              <w:t>MWORKS Sysplorer 2026a</w:t>
            </w:r>
          </w:p>
        </w:tc>
        <w:tc>
          <w:tcPr>
            <w:tcW w:w="3024" w:type="dxa"/>
            <w:tcBorders>
              <w:top w:val="nil"/>
              <w:left w:val="nil"/>
              <w:bottom w:val="nil"/>
              <w:right w:val="nil"/>
            </w:tcBorders>
            <w:shd w:val="clear" w:color="auto" w:fill="FFFFFF"/>
            <w:tcMar>
              <w:top w:w="80" w:type="dxa"/>
              <w:left w:w="120" w:type="dxa"/>
              <w:bottom w:w="80" w:type="dxa"/>
              <w:right w:w="120" w:type="dxa"/>
            </w:tcMar>
          </w:tcPr>
          <w:p w14:paraId="46E9F448">
            <w:pPr>
              <w:ind w:firstLine="0"/>
              <w:jc w:val="center"/>
            </w:pPr>
            <w:r>
              <w:rPr>
                <w:rFonts w:ascii="Times New Roman" w:hAnsi="Times New Roman" w:eastAsia="宋体"/>
                <w:b w:val="0"/>
                <w:bCs w:val="0"/>
                <w:color w:val="000000"/>
                <w:sz w:val="21"/>
                <w:szCs w:val="21"/>
              </w:rPr>
              <w:t>国家仿真平台</w:t>
            </w:r>
          </w:p>
        </w:tc>
      </w:tr>
      <w:tr w14:paraId="36B94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012179D5">
            <w:pPr>
              <w:ind w:firstLine="0"/>
              <w:jc w:val="center"/>
            </w:pPr>
            <w:r>
              <w:rPr>
                <w:rFonts w:ascii="Times New Roman" w:hAnsi="Times New Roman" w:eastAsia="宋体"/>
                <w:b w:val="0"/>
                <w:bCs w:val="0"/>
                <w:color w:val="000000"/>
                <w:sz w:val="21"/>
                <w:szCs w:val="21"/>
              </w:rPr>
              <w:t>建模语言</w:t>
            </w:r>
          </w:p>
        </w:tc>
        <w:tc>
          <w:tcPr>
            <w:tcW w:w="3023" w:type="dxa"/>
            <w:tcBorders>
              <w:top w:val="nil"/>
              <w:left w:val="nil"/>
              <w:bottom w:val="nil"/>
              <w:right w:val="nil"/>
            </w:tcBorders>
            <w:shd w:val="clear" w:color="auto" w:fill="FFFFFF"/>
            <w:tcMar>
              <w:top w:w="80" w:type="dxa"/>
              <w:left w:w="120" w:type="dxa"/>
              <w:bottom w:w="80" w:type="dxa"/>
              <w:right w:w="120" w:type="dxa"/>
            </w:tcMar>
          </w:tcPr>
          <w:p w14:paraId="26B7263D">
            <w:pPr>
              <w:ind w:firstLine="0"/>
              <w:jc w:val="center"/>
            </w:pPr>
            <w:r>
              <w:rPr>
                <w:rFonts w:ascii="Times New Roman" w:hAnsi="Times New Roman" w:eastAsia="宋体"/>
                <w:b w:val="0"/>
                <w:bCs w:val="0"/>
                <w:color w:val="000000"/>
                <w:sz w:val="21"/>
                <w:szCs w:val="21"/>
              </w:rPr>
              <w:t>Modelica</w:t>
            </w:r>
          </w:p>
        </w:tc>
        <w:tc>
          <w:tcPr>
            <w:tcW w:w="3024" w:type="dxa"/>
            <w:tcBorders>
              <w:top w:val="nil"/>
              <w:left w:val="nil"/>
              <w:bottom w:val="nil"/>
              <w:right w:val="nil"/>
            </w:tcBorders>
            <w:shd w:val="clear" w:color="auto" w:fill="FFFFFF"/>
            <w:tcMar>
              <w:top w:w="80" w:type="dxa"/>
              <w:left w:w="120" w:type="dxa"/>
              <w:bottom w:w="80" w:type="dxa"/>
              <w:right w:w="120" w:type="dxa"/>
            </w:tcMar>
          </w:tcPr>
          <w:p w14:paraId="4880A523">
            <w:pPr>
              <w:ind w:firstLine="0"/>
              <w:jc w:val="center"/>
            </w:pPr>
            <w:r>
              <w:rPr>
                <w:rFonts w:ascii="Times New Roman" w:hAnsi="Times New Roman" w:eastAsia="宋体"/>
                <w:b w:val="0"/>
                <w:bCs w:val="0"/>
                <w:color w:val="000000"/>
                <w:sz w:val="21"/>
                <w:szCs w:val="21"/>
              </w:rPr>
              <w:t>面向对象的物理建模</w:t>
            </w:r>
          </w:p>
        </w:tc>
      </w:tr>
      <w:tr w14:paraId="123ED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2A8374DA">
            <w:pPr>
              <w:ind w:firstLine="0"/>
              <w:jc w:val="center"/>
            </w:pPr>
            <w:r>
              <w:rPr>
                <w:rFonts w:ascii="Times New Roman" w:hAnsi="Times New Roman" w:eastAsia="宋体"/>
                <w:b w:val="0"/>
                <w:bCs w:val="0"/>
                <w:color w:val="000000"/>
                <w:sz w:val="21"/>
                <w:szCs w:val="21"/>
              </w:rPr>
              <w:t>基础模型</w:t>
            </w:r>
          </w:p>
        </w:tc>
        <w:tc>
          <w:tcPr>
            <w:tcW w:w="3023" w:type="dxa"/>
            <w:tcBorders>
              <w:top w:val="nil"/>
              <w:left w:val="nil"/>
              <w:bottom w:val="nil"/>
              <w:right w:val="nil"/>
            </w:tcBorders>
            <w:shd w:val="clear" w:color="auto" w:fill="FFFFFF"/>
            <w:tcMar>
              <w:top w:w="80" w:type="dxa"/>
              <w:left w:w="120" w:type="dxa"/>
              <w:bottom w:w="80" w:type="dxa"/>
              <w:right w:w="120" w:type="dxa"/>
            </w:tcMar>
          </w:tcPr>
          <w:p w14:paraId="6B65B4C6">
            <w:pPr>
              <w:ind w:firstLine="0"/>
              <w:jc w:val="center"/>
            </w:pPr>
            <w:r>
              <w:rPr>
                <w:rFonts w:ascii="Times New Roman" w:hAnsi="Times New Roman" w:eastAsia="宋体"/>
                <w:b w:val="0"/>
                <w:bCs w:val="0"/>
                <w:color w:val="000000"/>
                <w:sz w:val="21"/>
                <w:szCs w:val="21"/>
              </w:rPr>
              <w:t>MoHub 四旋翼模型 (model/2355)</w:t>
            </w:r>
          </w:p>
        </w:tc>
        <w:tc>
          <w:tcPr>
            <w:tcW w:w="3024" w:type="dxa"/>
            <w:tcBorders>
              <w:top w:val="nil"/>
              <w:left w:val="nil"/>
              <w:bottom w:val="nil"/>
              <w:right w:val="nil"/>
            </w:tcBorders>
            <w:shd w:val="clear" w:color="auto" w:fill="FFFFFF"/>
            <w:tcMar>
              <w:top w:w="80" w:type="dxa"/>
              <w:left w:w="120" w:type="dxa"/>
              <w:bottom w:w="80" w:type="dxa"/>
              <w:right w:w="120" w:type="dxa"/>
            </w:tcMar>
          </w:tcPr>
          <w:p w14:paraId="288F4A15">
            <w:pPr>
              <w:ind w:firstLine="0"/>
              <w:jc w:val="center"/>
            </w:pPr>
            <w:r>
              <w:rPr>
                <w:rFonts w:ascii="Times New Roman" w:hAnsi="Times New Roman" w:eastAsia="宋体"/>
                <w:b w:val="0"/>
                <w:bCs w:val="0"/>
                <w:color w:val="000000"/>
                <w:sz w:val="21"/>
                <w:szCs w:val="21"/>
              </w:rPr>
              <w:t>官方标准四旋翼动力学模型</w:t>
            </w:r>
          </w:p>
        </w:tc>
      </w:tr>
      <w:tr w14:paraId="3D52B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7A16B450">
            <w:pPr>
              <w:ind w:firstLine="0"/>
              <w:jc w:val="center"/>
            </w:pPr>
            <w:r>
              <w:rPr>
                <w:rFonts w:ascii="Times New Roman" w:hAnsi="Times New Roman" w:eastAsia="宋体"/>
                <w:b w:val="0"/>
                <w:bCs w:val="0"/>
                <w:color w:val="000000"/>
                <w:sz w:val="21"/>
                <w:szCs w:val="21"/>
              </w:rPr>
              <w:t>控制器（基准）</w:t>
            </w:r>
          </w:p>
        </w:tc>
        <w:tc>
          <w:tcPr>
            <w:tcW w:w="3023" w:type="dxa"/>
            <w:tcBorders>
              <w:top w:val="nil"/>
              <w:left w:val="nil"/>
              <w:bottom w:val="nil"/>
              <w:right w:val="nil"/>
            </w:tcBorders>
            <w:shd w:val="clear" w:color="auto" w:fill="FFFFFF"/>
            <w:tcMar>
              <w:top w:w="80" w:type="dxa"/>
              <w:left w:w="120" w:type="dxa"/>
              <w:bottom w:w="80" w:type="dxa"/>
              <w:right w:w="120" w:type="dxa"/>
            </w:tcMar>
          </w:tcPr>
          <w:p w14:paraId="1F3B3AF0">
            <w:pPr>
              <w:ind w:firstLine="0"/>
              <w:jc w:val="center"/>
            </w:pPr>
            <w:r>
              <w:rPr>
                <w:rFonts w:ascii="Times New Roman" w:hAnsi="Times New Roman" w:eastAsia="宋体"/>
                <w:b w:val="0"/>
                <w:bCs w:val="0"/>
                <w:color w:val="000000"/>
                <w:sz w:val="21"/>
                <w:szCs w:val="21"/>
              </w:rPr>
              <w:t>标准PID</w:t>
            </w:r>
          </w:p>
        </w:tc>
        <w:tc>
          <w:tcPr>
            <w:tcW w:w="3024" w:type="dxa"/>
            <w:tcBorders>
              <w:top w:val="nil"/>
              <w:left w:val="nil"/>
              <w:bottom w:val="nil"/>
              <w:right w:val="nil"/>
            </w:tcBorders>
            <w:shd w:val="clear" w:color="auto" w:fill="FFFFFF"/>
            <w:tcMar>
              <w:top w:w="80" w:type="dxa"/>
              <w:left w:w="120" w:type="dxa"/>
              <w:bottom w:w="80" w:type="dxa"/>
              <w:right w:w="120" w:type="dxa"/>
            </w:tcMar>
          </w:tcPr>
          <w:p w14:paraId="533F334E">
            <w:pPr>
              <w:ind w:firstLine="0"/>
              <w:jc w:val="center"/>
            </w:pPr>
            <w:r>
              <w:rPr>
                <w:rFonts w:ascii="Times New Roman" w:hAnsi="Times New Roman" w:eastAsia="宋体"/>
                <w:b w:val="0"/>
                <w:bCs w:val="0"/>
                <w:color w:val="000000"/>
                <w:sz w:val="21"/>
                <w:szCs w:val="21"/>
              </w:rPr>
              <w:t>所有通道PID</w:t>
            </w:r>
          </w:p>
        </w:tc>
      </w:tr>
      <w:tr w14:paraId="65D64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1C60879A">
            <w:pPr>
              <w:ind w:firstLine="0"/>
              <w:jc w:val="center"/>
            </w:pPr>
            <w:r>
              <w:rPr>
                <w:rFonts w:ascii="Times New Roman" w:hAnsi="Times New Roman" w:eastAsia="宋体"/>
                <w:b w:val="0"/>
                <w:bCs w:val="0"/>
                <w:color w:val="000000"/>
                <w:sz w:val="21"/>
                <w:szCs w:val="21"/>
              </w:rPr>
              <w:t>控制器（增强型）</w:t>
            </w:r>
          </w:p>
        </w:tc>
        <w:tc>
          <w:tcPr>
            <w:tcW w:w="3023" w:type="dxa"/>
            <w:tcBorders>
              <w:top w:val="nil"/>
              <w:left w:val="nil"/>
              <w:bottom w:val="nil"/>
              <w:right w:val="nil"/>
            </w:tcBorders>
            <w:shd w:val="clear" w:color="auto" w:fill="FFFFFF"/>
            <w:tcMar>
              <w:top w:w="80" w:type="dxa"/>
              <w:left w:w="120" w:type="dxa"/>
              <w:bottom w:w="80" w:type="dxa"/>
              <w:right w:w="120" w:type="dxa"/>
            </w:tcMar>
          </w:tcPr>
          <w:p w14:paraId="4697132A">
            <w:pPr>
              <w:ind w:firstLine="0"/>
              <w:jc w:val="center"/>
            </w:pPr>
            <w:r>
              <w:rPr>
                <w:rFonts w:ascii="Times New Roman" w:hAnsi="Times New Roman" w:eastAsia="宋体"/>
                <w:b w:val="0"/>
                <w:bCs w:val="0"/>
                <w:color w:val="000000"/>
                <w:sz w:val="21"/>
                <w:szCs w:val="21"/>
              </w:rPr>
              <w:t>混合PID滑模控制</w:t>
            </w:r>
          </w:p>
        </w:tc>
        <w:tc>
          <w:tcPr>
            <w:tcW w:w="3024" w:type="dxa"/>
            <w:tcBorders>
              <w:top w:val="nil"/>
              <w:left w:val="nil"/>
              <w:bottom w:val="nil"/>
              <w:right w:val="nil"/>
            </w:tcBorders>
            <w:shd w:val="clear" w:color="auto" w:fill="FFFFFF"/>
            <w:tcMar>
              <w:top w:w="80" w:type="dxa"/>
              <w:left w:w="120" w:type="dxa"/>
              <w:bottom w:w="80" w:type="dxa"/>
              <w:right w:w="120" w:type="dxa"/>
            </w:tcMar>
          </w:tcPr>
          <w:p w14:paraId="63F4DC8B">
            <w:pPr>
              <w:ind w:firstLine="0"/>
              <w:jc w:val="center"/>
            </w:pPr>
            <w:r>
              <w:rPr>
                <w:rFonts w:ascii="Times New Roman" w:hAnsi="Times New Roman" w:eastAsia="宋体"/>
                <w:b w:val="0"/>
                <w:bCs w:val="0"/>
                <w:color w:val="000000"/>
                <w:sz w:val="21"/>
                <w:szCs w:val="21"/>
              </w:rPr>
              <w:t>横向外环：复合滑模</w:t>
            </w:r>
          </w:p>
        </w:tc>
      </w:tr>
      <w:tr w14:paraId="5DBB3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29A3EF38">
            <w:pPr>
              <w:ind w:firstLine="0"/>
              <w:jc w:val="center"/>
            </w:pPr>
            <w:r>
              <w:rPr>
                <w:rFonts w:ascii="Times New Roman" w:hAnsi="Times New Roman" w:eastAsia="宋体"/>
                <w:b w:val="0"/>
                <w:bCs w:val="0"/>
                <w:color w:val="000000"/>
                <w:sz w:val="21"/>
                <w:szCs w:val="21"/>
              </w:rPr>
              <w:t>替换机制</w:t>
            </w:r>
          </w:p>
        </w:tc>
        <w:tc>
          <w:tcPr>
            <w:tcW w:w="3023" w:type="dxa"/>
            <w:tcBorders>
              <w:top w:val="nil"/>
              <w:left w:val="nil"/>
              <w:bottom w:val="nil"/>
              <w:right w:val="nil"/>
            </w:tcBorders>
            <w:shd w:val="clear" w:color="auto" w:fill="FFFFFF"/>
            <w:tcMar>
              <w:top w:w="80" w:type="dxa"/>
              <w:left w:w="120" w:type="dxa"/>
              <w:bottom w:w="80" w:type="dxa"/>
              <w:right w:w="120" w:type="dxa"/>
            </w:tcMar>
          </w:tcPr>
          <w:p w14:paraId="5078CBDF">
            <w:pPr>
              <w:ind w:firstLine="0"/>
              <w:jc w:val="center"/>
            </w:pPr>
            <w:r>
              <w:rPr>
                <w:rFonts w:ascii="Times New Roman" w:hAnsi="Times New Roman" w:eastAsia="宋体"/>
                <w:b w:val="0"/>
                <w:bCs w:val="0"/>
                <w:color w:val="000000"/>
                <w:sz w:val="21"/>
                <w:szCs w:val="21"/>
              </w:rPr>
              <w:t>可替换/重新声明</w:t>
            </w:r>
          </w:p>
        </w:tc>
        <w:tc>
          <w:tcPr>
            <w:tcW w:w="3024" w:type="dxa"/>
            <w:tcBorders>
              <w:top w:val="nil"/>
              <w:left w:val="nil"/>
              <w:bottom w:val="nil"/>
              <w:right w:val="nil"/>
            </w:tcBorders>
            <w:shd w:val="clear" w:color="auto" w:fill="FFFFFF"/>
            <w:tcMar>
              <w:top w:w="80" w:type="dxa"/>
              <w:left w:w="120" w:type="dxa"/>
              <w:bottom w:w="80" w:type="dxa"/>
              <w:right w:w="120" w:type="dxa"/>
            </w:tcMar>
          </w:tcPr>
          <w:p w14:paraId="2FE81F70">
            <w:pPr>
              <w:ind w:firstLine="0"/>
              <w:jc w:val="center"/>
            </w:pPr>
            <w:r>
              <w:rPr>
                <w:rFonts w:ascii="Times New Roman" w:hAnsi="Times New Roman" w:eastAsia="宋体"/>
                <w:b w:val="0"/>
                <w:bCs w:val="0"/>
                <w:color w:val="000000"/>
                <w:sz w:val="21"/>
                <w:szCs w:val="21"/>
              </w:rPr>
              <w:t>Modelica 结构替换语法</w:t>
            </w:r>
          </w:p>
        </w:tc>
      </w:tr>
      <w:tr w14:paraId="3213B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35C3087B">
            <w:pPr>
              <w:ind w:firstLine="0"/>
              <w:jc w:val="center"/>
            </w:pPr>
            <w:r>
              <w:rPr>
                <w:rFonts w:ascii="Times New Roman" w:hAnsi="Times New Roman" w:eastAsia="宋体"/>
                <w:b w:val="0"/>
                <w:bCs w:val="0"/>
                <w:color w:val="000000"/>
                <w:sz w:val="21"/>
                <w:szCs w:val="21"/>
              </w:rPr>
              <w:t>蒙特卡洛运行</w:t>
            </w:r>
          </w:p>
        </w:tc>
        <w:tc>
          <w:tcPr>
            <w:tcW w:w="3023" w:type="dxa"/>
            <w:tcBorders>
              <w:top w:val="nil"/>
              <w:left w:val="nil"/>
              <w:bottom w:val="nil"/>
              <w:right w:val="nil"/>
            </w:tcBorders>
            <w:shd w:val="clear" w:color="auto" w:fill="FFFFFF"/>
            <w:tcMar>
              <w:top w:w="80" w:type="dxa"/>
              <w:left w:w="120" w:type="dxa"/>
              <w:bottom w:w="80" w:type="dxa"/>
              <w:right w:w="120" w:type="dxa"/>
            </w:tcMar>
          </w:tcPr>
          <w:p w14:paraId="4C11F3B5">
            <w:pPr>
              <w:ind w:firstLine="0"/>
              <w:jc w:val="center"/>
            </w:pPr>
            <w:r>
              <w:rPr>
                <w:rFonts w:ascii="Times New Roman" w:hAnsi="Times New Roman" w:eastAsia="宋体"/>
                <w:b w:val="0"/>
                <w:bCs w:val="0"/>
                <w:color w:val="000000"/>
                <w:sz w:val="21"/>
                <w:szCs w:val="21"/>
              </w:rPr>
              <w:t>共计180次（每个场景60次）</w:t>
            </w:r>
          </w:p>
        </w:tc>
        <w:tc>
          <w:tcPr>
            <w:tcW w:w="3024" w:type="dxa"/>
            <w:tcBorders>
              <w:top w:val="nil"/>
              <w:left w:val="nil"/>
              <w:bottom w:val="nil"/>
              <w:right w:val="nil"/>
            </w:tcBorders>
            <w:shd w:val="clear" w:color="auto" w:fill="FFFFFF"/>
            <w:tcMar>
              <w:top w:w="80" w:type="dxa"/>
              <w:left w:w="120" w:type="dxa"/>
              <w:bottom w:w="80" w:type="dxa"/>
              <w:right w:w="120" w:type="dxa"/>
            </w:tcMar>
          </w:tcPr>
          <w:p w14:paraId="6A447583">
            <w:pPr>
              <w:ind w:firstLine="0"/>
              <w:jc w:val="center"/>
            </w:pPr>
            <w:r>
              <w:rPr>
                <w:rFonts w:ascii="Times New Roman" w:hAnsi="Times New Roman" w:eastAsia="宋体"/>
                <w:b w:val="0"/>
                <w:bCs w:val="0"/>
                <w:color w:val="000000"/>
                <w:sz w:val="21"/>
                <w:szCs w:val="21"/>
              </w:rPr>
              <w:t>统计鲁棒性评估</w:t>
            </w:r>
          </w:p>
        </w:tc>
      </w:tr>
      <w:tr w14:paraId="4E671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4AC073AA">
            <w:pPr>
              <w:ind w:firstLine="0"/>
              <w:jc w:val="center"/>
            </w:pPr>
            <w:r>
              <w:rPr>
                <w:rFonts w:ascii="Times New Roman" w:hAnsi="Times New Roman" w:eastAsia="宋体"/>
                <w:b w:val="0"/>
                <w:bCs w:val="0"/>
                <w:color w:val="000000"/>
                <w:sz w:val="21"/>
                <w:szCs w:val="21"/>
              </w:rPr>
              <w:t>NSGA-II 评估</w:t>
            </w:r>
          </w:p>
        </w:tc>
        <w:tc>
          <w:tcPr>
            <w:tcW w:w="3023" w:type="dxa"/>
            <w:tcBorders>
              <w:top w:val="nil"/>
              <w:left w:val="nil"/>
              <w:bottom w:val="nil"/>
              <w:right w:val="nil"/>
            </w:tcBorders>
            <w:shd w:val="clear" w:color="auto" w:fill="FFFFFF"/>
            <w:tcMar>
              <w:top w:w="80" w:type="dxa"/>
              <w:left w:w="120" w:type="dxa"/>
              <w:bottom w:w="80" w:type="dxa"/>
              <w:right w:w="120" w:type="dxa"/>
            </w:tcMar>
          </w:tcPr>
          <w:p w14:paraId="3A342B86">
            <w:pPr>
              <w:ind w:firstLine="0"/>
              <w:jc w:val="center"/>
            </w:pPr>
            <w:r>
              <w:rPr>
                <w:rFonts w:ascii="Times New Roman" w:hAnsi="Times New Roman" w:eastAsia="宋体"/>
                <w:b w:val="0"/>
                <w:bCs w:val="0"/>
                <w:color w:val="000000"/>
                <w:sz w:val="21"/>
                <w:szCs w:val="21"/>
              </w:rPr>
              <w:t>528</w:t>
            </w:r>
          </w:p>
        </w:tc>
        <w:tc>
          <w:tcPr>
            <w:tcW w:w="3024" w:type="dxa"/>
            <w:tcBorders>
              <w:top w:val="nil"/>
              <w:left w:val="nil"/>
              <w:bottom w:val="nil"/>
              <w:right w:val="nil"/>
            </w:tcBorders>
            <w:shd w:val="clear" w:color="auto" w:fill="FFFFFF"/>
            <w:tcMar>
              <w:top w:w="80" w:type="dxa"/>
              <w:left w:w="120" w:type="dxa"/>
              <w:bottom w:w="80" w:type="dxa"/>
              <w:right w:w="120" w:type="dxa"/>
            </w:tcMar>
          </w:tcPr>
          <w:p w14:paraId="09B90707">
            <w:pPr>
              <w:ind w:firstLine="0"/>
              <w:jc w:val="center"/>
            </w:pPr>
            <w:r>
              <w:rPr>
                <w:rFonts w:ascii="Times New Roman" w:hAnsi="Times New Roman" w:eastAsia="宋体"/>
                <w:b w:val="0"/>
                <w:bCs w:val="0"/>
                <w:color w:val="000000"/>
                <w:sz w:val="21"/>
                <w:szCs w:val="21"/>
              </w:rPr>
              <w:t>多目标参数优化</w:t>
            </w:r>
          </w:p>
        </w:tc>
      </w:tr>
      <w:tr w14:paraId="4A794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7B6E6137">
            <w:pPr>
              <w:ind w:firstLine="0"/>
              <w:jc w:val="center"/>
            </w:pPr>
            <w:r>
              <w:rPr>
                <w:rFonts w:ascii="Times New Roman" w:hAnsi="Times New Roman" w:eastAsia="宋体"/>
                <w:b w:val="0"/>
                <w:bCs w:val="0"/>
                <w:color w:val="000000"/>
                <w:sz w:val="21"/>
                <w:szCs w:val="21"/>
              </w:rPr>
              <w:t>NSGA-II 种群</w:t>
            </w:r>
          </w:p>
        </w:tc>
        <w:tc>
          <w:tcPr>
            <w:tcW w:w="3023" w:type="dxa"/>
            <w:tcBorders>
              <w:top w:val="nil"/>
              <w:left w:val="nil"/>
              <w:bottom w:val="nil"/>
              <w:right w:val="nil"/>
            </w:tcBorders>
            <w:shd w:val="clear" w:color="auto" w:fill="FFFFFF"/>
            <w:tcMar>
              <w:top w:w="80" w:type="dxa"/>
              <w:left w:w="120" w:type="dxa"/>
              <w:bottom w:w="80" w:type="dxa"/>
              <w:right w:w="120" w:type="dxa"/>
            </w:tcMar>
          </w:tcPr>
          <w:p w14:paraId="04343292">
            <w:pPr>
              <w:ind w:firstLine="0"/>
              <w:jc w:val="center"/>
            </w:pPr>
            <w:r>
              <w:rPr>
                <w:rFonts w:ascii="Times New Roman" w:hAnsi="Times New Roman" w:eastAsia="宋体"/>
                <w:b w:val="0"/>
                <w:bCs w:val="0"/>
                <w:color w:val="000000"/>
                <w:sz w:val="21"/>
                <w:szCs w:val="21"/>
              </w:rPr>
              <w:t>40</w:t>
            </w:r>
          </w:p>
        </w:tc>
        <w:tc>
          <w:tcPr>
            <w:tcW w:w="3024" w:type="dxa"/>
            <w:tcBorders>
              <w:top w:val="nil"/>
              <w:left w:val="nil"/>
              <w:bottom w:val="nil"/>
              <w:right w:val="nil"/>
            </w:tcBorders>
            <w:shd w:val="clear" w:color="auto" w:fill="FFFFFF"/>
            <w:tcMar>
              <w:top w:w="80" w:type="dxa"/>
              <w:left w:w="120" w:type="dxa"/>
              <w:bottom w:w="80" w:type="dxa"/>
              <w:right w:w="120" w:type="dxa"/>
            </w:tcMar>
          </w:tcPr>
          <w:p w14:paraId="43504A7F">
            <w:pPr>
              <w:ind w:firstLine="0"/>
              <w:jc w:val="center"/>
            </w:pPr>
            <w:r>
              <w:rPr>
                <w:rFonts w:ascii="Times New Roman" w:hAnsi="Times New Roman" w:eastAsia="宋体"/>
                <w:b w:val="0"/>
                <w:bCs w:val="0"/>
                <w:color w:val="000000"/>
                <w:sz w:val="21"/>
                <w:szCs w:val="21"/>
              </w:rPr>
              <w:t>进化算法种群规模</w:t>
            </w:r>
          </w:p>
        </w:tc>
      </w:tr>
      <w:tr w14:paraId="21318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1923EE97">
            <w:pPr>
              <w:ind w:firstLine="0"/>
              <w:jc w:val="center"/>
            </w:pPr>
            <w:r>
              <w:rPr>
                <w:rFonts w:ascii="Times New Roman" w:hAnsi="Times New Roman" w:eastAsia="宋体"/>
                <w:b w:val="0"/>
                <w:bCs w:val="0"/>
                <w:color w:val="000000"/>
                <w:sz w:val="21"/>
                <w:szCs w:val="21"/>
              </w:rPr>
              <w:t>NSGA-II 代数</w:t>
            </w:r>
          </w:p>
        </w:tc>
        <w:tc>
          <w:tcPr>
            <w:tcW w:w="3023" w:type="dxa"/>
            <w:tcBorders>
              <w:top w:val="nil"/>
              <w:left w:val="nil"/>
              <w:bottom w:val="nil"/>
              <w:right w:val="nil"/>
            </w:tcBorders>
            <w:shd w:val="clear" w:color="auto" w:fill="FFFFFF"/>
            <w:tcMar>
              <w:top w:w="80" w:type="dxa"/>
              <w:left w:w="120" w:type="dxa"/>
              <w:bottom w:w="80" w:type="dxa"/>
              <w:right w:w="120" w:type="dxa"/>
            </w:tcMar>
          </w:tcPr>
          <w:p w14:paraId="5154108F">
            <w:pPr>
              <w:ind w:firstLine="0"/>
              <w:jc w:val="center"/>
            </w:pPr>
            <w:r>
              <w:rPr>
                <w:rFonts w:ascii="Times New Roman" w:hAnsi="Times New Roman" w:eastAsia="宋体"/>
                <w:b w:val="0"/>
                <w:bCs w:val="0"/>
                <w:color w:val="000000"/>
                <w:sz w:val="21"/>
                <w:szCs w:val="21"/>
              </w:rPr>
              <w:t>14</w:t>
            </w:r>
          </w:p>
        </w:tc>
        <w:tc>
          <w:tcPr>
            <w:tcW w:w="3024" w:type="dxa"/>
            <w:tcBorders>
              <w:top w:val="nil"/>
              <w:left w:val="nil"/>
              <w:bottom w:val="nil"/>
              <w:right w:val="nil"/>
            </w:tcBorders>
            <w:shd w:val="clear" w:color="auto" w:fill="FFFFFF"/>
            <w:tcMar>
              <w:top w:w="80" w:type="dxa"/>
              <w:left w:w="120" w:type="dxa"/>
              <w:bottom w:w="80" w:type="dxa"/>
              <w:right w:w="120" w:type="dxa"/>
            </w:tcMar>
          </w:tcPr>
          <w:p w14:paraId="2E5278A7">
            <w:pPr>
              <w:ind w:firstLine="0"/>
              <w:jc w:val="center"/>
            </w:pPr>
            <w:r>
              <w:rPr>
                <w:rFonts w:ascii="Times New Roman" w:hAnsi="Times New Roman" w:eastAsia="宋体"/>
                <w:b w:val="0"/>
                <w:bCs w:val="0"/>
                <w:color w:val="000000"/>
                <w:sz w:val="21"/>
                <w:szCs w:val="21"/>
              </w:rPr>
              <w:t>收敛代数</w:t>
            </w:r>
          </w:p>
        </w:tc>
      </w:tr>
      <w:tr w14:paraId="6B7A2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single" w:color="000000" w:sz="12" w:space="0"/>
              <w:right w:val="nil"/>
            </w:tcBorders>
            <w:shd w:val="clear" w:color="auto" w:fill="FFFFFF"/>
            <w:tcMar>
              <w:top w:w="80" w:type="dxa"/>
              <w:left w:w="120" w:type="dxa"/>
              <w:bottom w:w="80" w:type="dxa"/>
              <w:right w:w="120" w:type="dxa"/>
            </w:tcMar>
          </w:tcPr>
          <w:p w14:paraId="36B8CD8A">
            <w:pPr>
              <w:ind w:firstLine="0"/>
              <w:jc w:val="center"/>
            </w:pPr>
            <w:r>
              <w:rPr>
                <w:rFonts w:ascii="Times New Roman" w:hAnsi="Times New Roman" w:eastAsia="宋体"/>
                <w:b w:val="0"/>
                <w:bCs w:val="0"/>
                <w:color w:val="000000"/>
                <w:sz w:val="21"/>
                <w:szCs w:val="21"/>
              </w:rPr>
              <w:t>编队配置</w:t>
            </w:r>
          </w:p>
        </w:tc>
        <w:tc>
          <w:tcPr>
            <w:tcW w:w="3023" w:type="dxa"/>
            <w:tcBorders>
              <w:top w:val="nil"/>
              <w:left w:val="nil"/>
              <w:bottom w:val="single" w:color="000000" w:sz="12" w:space="0"/>
              <w:right w:val="nil"/>
            </w:tcBorders>
            <w:shd w:val="clear" w:color="auto" w:fill="FFFFFF"/>
            <w:tcMar>
              <w:top w:w="80" w:type="dxa"/>
              <w:left w:w="120" w:type="dxa"/>
              <w:bottom w:w="80" w:type="dxa"/>
              <w:right w:w="120" w:type="dxa"/>
            </w:tcMar>
          </w:tcPr>
          <w:p w14:paraId="0CE49134">
            <w:pPr>
              <w:ind w:firstLine="0"/>
              <w:jc w:val="center"/>
            </w:pPr>
            <w:r>
              <w:rPr>
                <w:rFonts w:ascii="Times New Roman" w:hAnsi="Times New Roman" w:eastAsia="宋体"/>
                <w:b w:val="0"/>
                <w:bCs w:val="0"/>
                <w:color w:val="000000"/>
                <w:sz w:val="21"/>
                <w:szCs w:val="21"/>
              </w:rPr>
              <w:t>3架无人机，领航-跟随模式</w:t>
            </w:r>
          </w:p>
        </w:tc>
        <w:tc>
          <w:tcPr>
            <w:tcW w:w="3024" w:type="dxa"/>
            <w:tcBorders>
              <w:top w:val="nil"/>
              <w:left w:val="nil"/>
              <w:bottom w:val="single" w:color="000000" w:sz="12" w:space="0"/>
              <w:right w:val="nil"/>
            </w:tcBorders>
            <w:shd w:val="clear" w:color="auto" w:fill="FFFFFF"/>
            <w:tcMar>
              <w:top w:w="80" w:type="dxa"/>
              <w:left w:w="120" w:type="dxa"/>
              <w:bottom w:w="80" w:type="dxa"/>
              <w:right w:w="120" w:type="dxa"/>
            </w:tcMar>
          </w:tcPr>
          <w:p w14:paraId="056ADB92">
            <w:pPr>
              <w:ind w:firstLine="0"/>
              <w:jc w:val="center"/>
            </w:pPr>
            <w:r>
              <w:rPr>
                <w:rFonts w:ascii="Times New Roman" w:hAnsi="Times New Roman" w:eastAsia="宋体"/>
                <w:b w:val="0"/>
                <w:bCs w:val="0"/>
                <w:color w:val="000000"/>
                <w:sz w:val="21"/>
                <w:szCs w:val="21"/>
              </w:rPr>
              <w:t>多无人机协同演示</w:t>
            </w:r>
          </w:p>
        </w:tc>
      </w:tr>
    </w:tbl>
    <w:p w14:paraId="74C21816">
      <w:pPr>
        <w:pStyle w:val="4"/>
        <w:spacing w:before="120" w:after="60" w:line="360" w:lineRule="auto"/>
        <w:ind w:firstLine="0"/>
        <w:jc w:val="left"/>
        <w:rPr>
          <w:rFonts w:ascii="Times New Roman" w:hAnsi="Times New Roman" w:eastAsia="黑体"/>
          <w:b/>
          <w:bCs/>
          <w:color w:val="000000"/>
          <w:sz w:val="24"/>
          <w:szCs w:val="24"/>
        </w:rPr>
      </w:pPr>
    </w:p>
    <w:p w14:paraId="22D0B79C">
      <w:pPr>
        <w:pStyle w:val="4"/>
        <w:spacing w:before="120" w:after="60" w:line="360" w:lineRule="auto"/>
        <w:ind w:firstLine="0"/>
        <w:jc w:val="left"/>
      </w:pPr>
      <w:r>
        <w:rPr>
          <w:rFonts w:ascii="Times New Roman" w:hAnsi="Times New Roman" w:eastAsia="黑体"/>
          <w:b/>
          <w:bCs/>
          <w:color w:val="000000"/>
          <w:sz w:val="24"/>
          <w:szCs w:val="24"/>
        </w:rPr>
        <w:t>8.2 性能指标定义</w:t>
      </w:r>
    </w:p>
    <w:tbl>
      <w:tblPr>
        <w:tblStyle w:val="11"/>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535"/>
        <w:gridCol w:w="4535"/>
      </w:tblGrid>
      <w:tr w14:paraId="6506C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3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7E098865">
            <w:pPr>
              <w:ind w:firstLine="0"/>
              <w:jc w:val="center"/>
            </w:pPr>
            <w:r>
              <w:rPr>
                <w:rFonts w:ascii="Times New Roman" w:hAnsi="Times New Roman" w:eastAsia="宋体"/>
                <w:b/>
                <w:bCs/>
                <w:color w:val="000000"/>
                <w:sz w:val="21"/>
                <w:szCs w:val="21"/>
              </w:rPr>
              <w:t>指标</w:t>
            </w:r>
          </w:p>
        </w:tc>
        <w:tc>
          <w:tcPr>
            <w:tcW w:w="453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7D776AA1">
            <w:pPr>
              <w:ind w:firstLine="0"/>
              <w:jc w:val="center"/>
            </w:pPr>
            <w:r>
              <w:rPr>
                <w:rFonts w:ascii="Times New Roman" w:hAnsi="Times New Roman" w:eastAsia="宋体"/>
                <w:b/>
                <w:bCs/>
                <w:color w:val="000000"/>
                <w:sz w:val="21"/>
                <w:szCs w:val="21"/>
              </w:rPr>
              <w:t>定义</w:t>
            </w:r>
          </w:p>
        </w:tc>
      </w:tr>
      <w:tr w14:paraId="7BB14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116AEEDB">
            <w:pPr>
              <w:ind w:firstLine="0"/>
              <w:jc w:val="center"/>
            </w:pPr>
            <w:r>
              <w:rPr>
                <w:rFonts w:ascii="Times New Roman" w:hAnsi="Times New Roman" w:eastAsia="宋体"/>
                <w:b w:val="0"/>
                <w:bCs w:val="0"/>
                <w:color w:val="000000"/>
                <w:sz w:val="21"/>
                <w:szCs w:val="21"/>
              </w:rPr>
              <w:t>路径均方根误差</w:t>
            </w:r>
          </w:p>
        </w:tc>
        <w:tc>
          <w:tcPr>
            <w:tcW w:w="4535" w:type="dxa"/>
            <w:tcBorders>
              <w:top w:val="nil"/>
              <w:left w:val="nil"/>
              <w:bottom w:val="nil"/>
              <w:right w:val="nil"/>
            </w:tcBorders>
            <w:shd w:val="clear" w:color="auto" w:fill="FFFFFF"/>
            <w:tcMar>
              <w:top w:w="80" w:type="dxa"/>
              <w:left w:w="120" w:type="dxa"/>
              <w:bottom w:w="80" w:type="dxa"/>
              <w:right w:w="120" w:type="dxa"/>
            </w:tcMar>
          </w:tcPr>
          <w:p w14:paraId="0EF7D08B">
            <w:pPr>
              <w:ind w:firstLine="0"/>
              <w:jc w:val="center"/>
            </w:pPr>
            <w:r>
              <w:rPr>
                <w:rFonts w:ascii="Times New Roman" w:hAnsi="Times New Roman" w:eastAsia="宋体"/>
                <w:b w:val="0"/>
                <w:bCs w:val="0"/>
                <w:color w:val="000000"/>
                <w:sz w:val="21"/>
                <w:szCs w:val="21"/>
              </w:rPr>
              <w:t>整个模拟过程中实际3D位置与参考3D位置之间的均方根误差</w:t>
            </w:r>
          </w:p>
        </w:tc>
      </w:tr>
      <w:tr w14:paraId="19685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70047367">
            <w:pPr>
              <w:ind w:firstLine="0"/>
              <w:jc w:val="center"/>
            </w:pPr>
            <w:r>
              <w:rPr>
                <w:rFonts w:ascii="Times New Roman" w:hAnsi="Times New Roman" w:eastAsia="宋体"/>
                <w:b w:val="0"/>
                <w:bCs w:val="0"/>
                <w:color w:val="000000"/>
                <w:sz w:val="21"/>
                <w:szCs w:val="21"/>
              </w:rPr>
              <w:t>平均误差</w:t>
            </w:r>
          </w:p>
        </w:tc>
        <w:tc>
          <w:tcPr>
            <w:tcW w:w="4535" w:type="dxa"/>
            <w:tcBorders>
              <w:top w:val="nil"/>
              <w:left w:val="nil"/>
              <w:bottom w:val="nil"/>
              <w:right w:val="nil"/>
            </w:tcBorders>
            <w:shd w:val="clear" w:color="auto" w:fill="FFFFFF"/>
            <w:tcMar>
              <w:top w:w="80" w:type="dxa"/>
              <w:left w:w="120" w:type="dxa"/>
              <w:bottom w:w="80" w:type="dxa"/>
              <w:right w:w="120" w:type="dxa"/>
            </w:tcMar>
          </w:tcPr>
          <w:p w14:paraId="09D312B2">
            <w:pPr>
              <w:ind w:firstLine="0"/>
              <w:jc w:val="center"/>
            </w:pPr>
            <w:r>
              <w:rPr>
                <w:rFonts w:ascii="Times New Roman" w:hAnsi="Times New Roman" w:eastAsia="宋体"/>
                <w:b w:val="0"/>
                <w:bCs w:val="0"/>
                <w:color w:val="000000"/>
                <w:sz w:val="21"/>
                <w:szCs w:val="21"/>
              </w:rPr>
              <w:t>实际轨迹与参考轨迹之间的平均绝对距离</w:t>
            </w:r>
          </w:p>
        </w:tc>
      </w:tr>
      <w:tr w14:paraId="50793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30192672">
            <w:pPr>
              <w:ind w:firstLine="0"/>
              <w:jc w:val="center"/>
            </w:pPr>
            <w:r>
              <w:rPr>
                <w:rFonts w:ascii="Times New Roman" w:hAnsi="Times New Roman" w:eastAsia="宋体"/>
                <w:b w:val="0"/>
                <w:bCs w:val="0"/>
                <w:color w:val="000000"/>
                <w:sz w:val="21"/>
                <w:szCs w:val="21"/>
              </w:rPr>
              <w:t>最大误差</w:t>
            </w:r>
          </w:p>
        </w:tc>
        <w:tc>
          <w:tcPr>
            <w:tcW w:w="4535" w:type="dxa"/>
            <w:tcBorders>
              <w:top w:val="nil"/>
              <w:left w:val="nil"/>
              <w:bottom w:val="nil"/>
              <w:right w:val="nil"/>
            </w:tcBorders>
            <w:shd w:val="clear" w:color="auto" w:fill="FFFFFF"/>
            <w:tcMar>
              <w:top w:w="80" w:type="dxa"/>
              <w:left w:w="120" w:type="dxa"/>
              <w:bottom w:w="80" w:type="dxa"/>
              <w:right w:w="120" w:type="dxa"/>
            </w:tcMar>
          </w:tcPr>
          <w:p w14:paraId="624E09F9">
            <w:pPr>
              <w:ind w:firstLine="0"/>
              <w:jc w:val="center"/>
            </w:pPr>
            <w:r>
              <w:rPr>
                <w:rFonts w:ascii="Times New Roman" w:hAnsi="Times New Roman" w:eastAsia="宋体"/>
                <w:b w:val="0"/>
                <w:bCs w:val="0"/>
                <w:color w:val="000000"/>
                <w:sz w:val="21"/>
                <w:szCs w:val="21"/>
              </w:rPr>
              <w:t>实际位置与参考位置之间的峰值瞬时距离</w:t>
            </w:r>
          </w:p>
        </w:tc>
      </w:tr>
      <w:tr w14:paraId="157D2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12719F13">
            <w:pPr>
              <w:ind w:firstLine="0"/>
              <w:jc w:val="center"/>
            </w:pPr>
            <w:r>
              <w:rPr>
                <w:rFonts w:ascii="Times New Roman" w:hAnsi="Times New Roman" w:eastAsia="宋体"/>
                <w:b w:val="0"/>
                <w:bCs w:val="0"/>
                <w:color w:val="000000"/>
                <w:sz w:val="21"/>
                <w:szCs w:val="21"/>
              </w:rPr>
              <w:t>阶跃超调</w:t>
            </w:r>
          </w:p>
        </w:tc>
        <w:tc>
          <w:tcPr>
            <w:tcW w:w="4535" w:type="dxa"/>
            <w:tcBorders>
              <w:top w:val="nil"/>
              <w:left w:val="nil"/>
              <w:bottom w:val="nil"/>
              <w:right w:val="nil"/>
            </w:tcBorders>
            <w:shd w:val="clear" w:color="auto" w:fill="FFFFFF"/>
            <w:tcMar>
              <w:top w:w="80" w:type="dxa"/>
              <w:left w:w="120" w:type="dxa"/>
              <w:bottom w:w="80" w:type="dxa"/>
              <w:right w:w="120" w:type="dxa"/>
            </w:tcMar>
          </w:tcPr>
          <w:p w14:paraId="583AB747">
            <w:pPr>
              <w:ind w:firstLine="0"/>
              <w:jc w:val="center"/>
            </w:pPr>
            <w:r>
              <w:rPr>
                <w:rFonts w:ascii="Times New Roman" w:hAnsi="Times New Roman" w:eastAsia="宋体"/>
                <w:b w:val="0"/>
                <w:bCs w:val="0"/>
                <w:color w:val="000000"/>
                <w:sz w:val="21"/>
                <w:szCs w:val="21"/>
              </w:rPr>
              <w:t>阶跃响应过程中，高度超过最终稳态值的最大百分比</w:t>
            </w:r>
          </w:p>
        </w:tc>
      </w:tr>
      <w:tr w14:paraId="0CE9F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6469254F">
            <w:pPr>
              <w:ind w:firstLine="0"/>
              <w:jc w:val="center"/>
            </w:pPr>
            <w:r>
              <w:rPr>
                <w:rFonts w:ascii="Times New Roman" w:hAnsi="Times New Roman" w:eastAsia="宋体"/>
                <w:b w:val="0"/>
                <w:bCs w:val="0"/>
                <w:color w:val="000000"/>
                <w:sz w:val="21"/>
                <w:szCs w:val="21"/>
              </w:rPr>
              <w:t>2% 稳定时间</w:t>
            </w:r>
          </w:p>
        </w:tc>
        <w:tc>
          <w:tcPr>
            <w:tcW w:w="4535" w:type="dxa"/>
            <w:tcBorders>
              <w:top w:val="nil"/>
              <w:left w:val="nil"/>
              <w:bottom w:val="nil"/>
              <w:right w:val="nil"/>
            </w:tcBorders>
            <w:shd w:val="clear" w:color="auto" w:fill="FFFFFF"/>
            <w:tcMar>
              <w:top w:w="80" w:type="dxa"/>
              <w:left w:w="120" w:type="dxa"/>
              <w:bottom w:w="80" w:type="dxa"/>
              <w:right w:w="120" w:type="dxa"/>
            </w:tcMar>
          </w:tcPr>
          <w:p w14:paraId="1F242335">
            <w:pPr>
              <w:ind w:firstLine="0"/>
              <w:jc w:val="center"/>
            </w:pPr>
            <w:r>
              <w:rPr>
                <w:rFonts w:ascii="Times New Roman" w:hAnsi="Times New Roman" w:eastAsia="宋体"/>
                <w:b w:val="0"/>
                <w:bCs w:val="0"/>
                <w:color w:val="000000"/>
                <w:sz w:val="21"/>
                <w:szCs w:val="21"/>
              </w:rPr>
              <w:t>高度响应保持在最终值2%范围内的所需时间</w:t>
            </w:r>
          </w:p>
        </w:tc>
      </w:tr>
      <w:tr w14:paraId="05955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035144AD">
            <w:pPr>
              <w:ind w:firstLine="0"/>
              <w:jc w:val="center"/>
            </w:pPr>
            <w:r>
              <w:rPr>
                <w:rFonts w:ascii="Times New Roman" w:hAnsi="Times New Roman" w:eastAsia="宋体"/>
                <w:b w:val="0"/>
                <w:bCs w:val="0"/>
                <w:color w:val="000000"/>
                <w:sz w:val="21"/>
                <w:szCs w:val="21"/>
              </w:rPr>
              <w:t>稳态误差</w:t>
            </w:r>
          </w:p>
        </w:tc>
        <w:tc>
          <w:tcPr>
            <w:tcW w:w="4535" w:type="dxa"/>
            <w:tcBorders>
              <w:top w:val="nil"/>
              <w:left w:val="nil"/>
              <w:bottom w:val="nil"/>
              <w:right w:val="nil"/>
            </w:tcBorders>
            <w:shd w:val="clear" w:color="auto" w:fill="FFFFFF"/>
            <w:tcMar>
              <w:top w:w="80" w:type="dxa"/>
              <w:left w:w="120" w:type="dxa"/>
              <w:bottom w:w="80" w:type="dxa"/>
              <w:right w:w="120" w:type="dxa"/>
            </w:tcMar>
          </w:tcPr>
          <w:p w14:paraId="0B890CB2">
            <w:pPr>
              <w:ind w:firstLine="0"/>
              <w:jc w:val="center"/>
            </w:pPr>
            <w:r>
              <w:rPr>
                <w:rFonts w:ascii="Times New Roman" w:hAnsi="Times New Roman" w:eastAsia="宋体"/>
                <w:b w:val="0"/>
                <w:bCs w:val="0"/>
                <w:color w:val="000000"/>
                <w:sz w:val="21"/>
                <w:szCs w:val="21"/>
              </w:rPr>
              <w:t>暂态衰减后的残余跟踪误差（在仿真结束时测量）</w:t>
            </w:r>
          </w:p>
        </w:tc>
      </w:tr>
      <w:tr w14:paraId="68644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504154A3">
            <w:pPr>
              <w:ind w:firstLine="0"/>
              <w:jc w:val="center"/>
            </w:pPr>
            <w:r>
              <w:rPr>
                <w:rFonts w:ascii="Times New Roman" w:hAnsi="Times New Roman" w:eastAsia="宋体"/>
                <w:b w:val="0"/>
                <w:bCs w:val="0"/>
                <w:color w:val="000000"/>
                <w:sz w:val="21"/>
                <w:szCs w:val="21"/>
              </w:rPr>
              <w:t>姿态偏差</w:t>
            </w:r>
          </w:p>
        </w:tc>
        <w:tc>
          <w:tcPr>
            <w:tcW w:w="4535" w:type="dxa"/>
            <w:tcBorders>
              <w:top w:val="nil"/>
              <w:left w:val="nil"/>
              <w:bottom w:val="nil"/>
              <w:right w:val="nil"/>
            </w:tcBorders>
            <w:shd w:val="clear" w:color="auto" w:fill="FFFFFF"/>
            <w:tcMar>
              <w:top w:w="80" w:type="dxa"/>
              <w:left w:w="120" w:type="dxa"/>
              <w:bottom w:w="80" w:type="dxa"/>
              <w:right w:w="120" w:type="dxa"/>
            </w:tcMar>
          </w:tcPr>
          <w:p w14:paraId="6E099146">
            <w:pPr>
              <w:ind w:firstLine="0"/>
              <w:jc w:val="center"/>
            </w:pPr>
            <w:r>
              <w:rPr>
                <w:rFonts w:ascii="Times New Roman" w:hAnsi="Times New Roman" w:eastAsia="宋体"/>
                <w:b w:val="0"/>
                <w:bCs w:val="0"/>
                <w:color w:val="000000"/>
                <w:sz w:val="21"/>
                <w:szCs w:val="21"/>
              </w:rPr>
              <w:t>任何姿态角超过15度阈值的时间采样次数</w:t>
            </w:r>
          </w:p>
        </w:tc>
      </w:tr>
      <w:tr w14:paraId="290AF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single" w:color="000000" w:sz="12" w:space="0"/>
              <w:right w:val="nil"/>
            </w:tcBorders>
            <w:shd w:val="clear" w:color="auto" w:fill="FFFFFF"/>
            <w:tcMar>
              <w:top w:w="80" w:type="dxa"/>
              <w:left w:w="120" w:type="dxa"/>
              <w:bottom w:w="80" w:type="dxa"/>
              <w:right w:w="120" w:type="dxa"/>
            </w:tcMar>
          </w:tcPr>
          <w:p w14:paraId="62711682">
            <w:pPr>
              <w:ind w:firstLine="0"/>
              <w:jc w:val="center"/>
            </w:pPr>
            <w:r>
              <w:rPr>
                <w:rFonts w:ascii="Times New Roman" w:hAnsi="Times New Roman" w:eastAsia="宋体"/>
                <w:b w:val="0"/>
                <w:bCs w:val="0"/>
                <w:color w:val="000000"/>
                <w:sz w:val="21"/>
                <w:szCs w:val="21"/>
              </w:rPr>
              <w:t>P95退化</w:t>
            </w:r>
          </w:p>
        </w:tc>
        <w:tc>
          <w:tcPr>
            <w:tcW w:w="4535" w:type="dxa"/>
            <w:tcBorders>
              <w:top w:val="nil"/>
              <w:left w:val="nil"/>
              <w:bottom w:val="single" w:color="000000" w:sz="12" w:space="0"/>
              <w:right w:val="nil"/>
            </w:tcBorders>
            <w:shd w:val="clear" w:color="auto" w:fill="FFFFFF"/>
            <w:tcMar>
              <w:top w:w="80" w:type="dxa"/>
              <w:left w:w="120" w:type="dxa"/>
              <w:bottom w:w="80" w:type="dxa"/>
              <w:right w:w="120" w:type="dxa"/>
            </w:tcMar>
          </w:tcPr>
          <w:p w14:paraId="2081F996">
            <w:pPr>
              <w:ind w:firstLine="0"/>
              <w:jc w:val="center"/>
            </w:pPr>
            <w:r>
              <w:rPr>
                <w:rFonts w:ascii="Times New Roman" w:hAnsi="Times New Roman" w:eastAsia="宋体"/>
                <w:b w:val="0"/>
                <w:bCs w:val="0"/>
                <w:color w:val="000000"/>
                <w:sz w:val="21"/>
                <w:szCs w:val="21"/>
              </w:rPr>
              <w:t>蒙特卡洛扰动模拟运行中均方根误差（RMSE）增幅百分比的第95百分位数</w:t>
            </w:r>
          </w:p>
        </w:tc>
      </w:tr>
    </w:tbl>
    <w:p w14:paraId="228EDA58">
      <w:pPr>
        <w:pStyle w:val="3"/>
        <w:spacing w:before="180" w:after="90" w:line="360" w:lineRule="auto"/>
        <w:ind w:firstLine="0"/>
        <w:jc w:val="left"/>
        <w:rPr>
          <w:rFonts w:ascii="Times New Roman" w:hAnsi="Times New Roman" w:eastAsia="黑体"/>
          <w:b/>
          <w:bCs/>
          <w:color w:val="000000"/>
          <w:sz w:val="30"/>
          <w:szCs w:val="30"/>
        </w:rPr>
      </w:pPr>
    </w:p>
    <w:p w14:paraId="14503853">
      <w:pPr>
        <w:pStyle w:val="3"/>
        <w:spacing w:before="180" w:after="90" w:line="360" w:lineRule="auto"/>
        <w:ind w:firstLine="0"/>
        <w:jc w:val="left"/>
      </w:pPr>
      <w:bookmarkStart w:id="0" w:name="_GoBack"/>
      <w:bookmarkEnd w:id="0"/>
      <w:r>
        <w:rPr>
          <w:rFonts w:ascii="Times New Roman" w:hAnsi="Times New Roman" w:eastAsia="黑体"/>
          <w:b/>
          <w:bCs/>
          <w:color w:val="000000"/>
          <w:sz w:val="30"/>
          <w:szCs w:val="30"/>
        </w:rPr>
        <w:t>参考文献</w:t>
      </w:r>
    </w:p>
    <w:p w14:paraId="2C4DB40E">
      <w:pPr>
        <w:spacing w:line="300" w:lineRule="auto"/>
        <w:ind w:left="420" w:hanging="420"/>
      </w:pPr>
      <w:r>
        <w:rPr>
          <w:rFonts w:ascii="Times New Roman" w:hAnsi="Times New Roman" w:eastAsia="宋体"/>
          <w:color w:val="000000"/>
          <w:sz w:val="21"/>
          <w:szCs w:val="21"/>
        </w:rPr>
        <w:t>[1] Baek J, Kang M. 一种用于四旋翼无人机系统姿态轨迹跟踪的合成滑模控制[J]. 《IEEE/ASME机电一体化汇刊》，2023，28(4)：2189-2199.</w:t>
      </w:r>
    </w:p>
    <w:p w14:paraId="0EA0D0B2">
      <w:pPr>
        <w:spacing w:line="300" w:lineRule="auto"/>
        <w:ind w:left="420" w:hanging="420"/>
      </w:pPr>
      <w:r>
        <w:rPr>
          <w:rFonts w:ascii="Times New Roman" w:hAnsi="Times New Roman" w:eastAsia="宋体"/>
          <w:color w:val="000000"/>
          <w:sz w:val="21"/>
          <w:szCs w:val="21"/>
        </w:rPr>
        <w:t>[2] Gao R, Wu S, Li H. 四旋翼无人机轨迹跟踪控制的全局快速终端滑模控制[J]. 传感器, 2025, 25(24): 7480.</w:t>
      </w:r>
    </w:p>
    <w:p w14:paraId="72D51F43">
      <w:pPr>
        <w:spacing w:line="300" w:lineRule="auto"/>
        <w:ind w:left="420" w:hanging="420"/>
      </w:pPr>
      <w:r>
        <w:rPr>
          <w:rFonts w:ascii="Times New Roman" w:hAnsi="Times New Roman" w:eastAsia="宋体"/>
          <w:color w:val="000000"/>
          <w:sz w:val="21"/>
          <w:szCs w:val="21"/>
        </w:rPr>
        <w:t>[3] Tiller M. 《Modelica物理建模入门》[M]. Springer, 2001.</w:t>
      </w:r>
    </w:p>
    <w:p w14:paraId="2A0E7645">
      <w:pPr>
        <w:spacing w:line="300" w:lineRule="auto"/>
        <w:ind w:left="420" w:hanging="420"/>
      </w:pPr>
      <w:r>
        <w:rPr>
          <w:rFonts w:ascii="Times New Roman" w:hAnsi="Times New Roman" w:eastAsia="宋体"/>
          <w:color w:val="000000"/>
          <w:sz w:val="21"/>
          <w:szCs w:val="21"/>
        </w:rPr>
        <w:t>[4] 陈X，刘J，孟L. 基于自适应事件触发机制的四旋翼飞行器轨迹跟踪模糊滑模控制[J]. 《富兰克林学会学报》，2025，362(10)：107718.</w:t>
      </w:r>
    </w:p>
    <w:p w14:paraId="39B8AB54">
      <w:pPr>
        <w:spacing w:line="300" w:lineRule="auto"/>
        <w:ind w:left="420" w:hanging="420"/>
      </w:pPr>
      <w:r>
        <w:rPr>
          <w:rFonts w:ascii="Times New Roman" w:hAnsi="Times New Roman" w:eastAsia="宋体"/>
          <w:color w:val="000000"/>
          <w:sz w:val="21"/>
          <w:szCs w:val="21"/>
        </w:rPr>
        <w:t>[5] Ames A D, Xu X, Grizzle J W 等. 基于控制屏障函数的安全关键系统二次规划[J]. 《IEEE自动控制汇刊》，2017，62(8)：3861-3876.</w:t>
      </w:r>
    </w:p>
    <w:p w14:paraId="379469E5">
      <w:pPr>
        <w:spacing w:line="300" w:lineRule="auto"/>
        <w:ind w:left="420" w:hanging="420"/>
      </w:pPr>
      <w:r>
        <w:rPr>
          <w:rFonts w:ascii="Times New Roman" w:hAnsi="Times New Roman" w:eastAsia="宋体"/>
          <w:color w:val="000000"/>
          <w:sz w:val="21"/>
          <w:szCs w:val="21"/>
        </w:rPr>
        <w:t>[6] Bechlioulis C P, Rovithakis G A. 受扰单输入单输出（SISO）反馈线性化系统的预定性能自适应控制[C]. 第16届地中海控制与自动化会议, IEEE, 2008: 1035-1040.</w:t>
      </w:r>
    </w:p>
    <w:p w14:paraId="35EC7323">
      <w:pPr>
        <w:spacing w:line="300" w:lineRule="auto"/>
        <w:ind w:left="420" w:hanging="420"/>
      </w:pPr>
      <w:r>
        <w:rPr>
          <w:rFonts w:ascii="Times New Roman" w:hAnsi="Times New Roman" w:eastAsia="宋体"/>
          <w:color w:val="000000"/>
          <w:sz w:val="21"/>
          <w:szCs w:val="21"/>
        </w:rPr>
        <w:t>[7] Garone E, Di Cairano S, Kolmanovsky I V. 带约束系统的参考值与指令调节器：理论与应用综述[J]. 《Automatica》，2017，75: 306-328.</w:t>
      </w:r>
    </w:p>
    <w:p w14:paraId="755CB0DE">
      <w:pPr>
        <w:spacing w:line="300" w:lineRule="auto"/>
        <w:ind w:left="420" w:hanging="420"/>
      </w:pPr>
      <w:r>
        <w:rPr>
          <w:rFonts w:ascii="Times New Roman" w:hAnsi="Times New Roman" w:eastAsia="宋体"/>
          <w:color w:val="000000"/>
          <w:sz w:val="21"/>
          <w:szCs w:val="21"/>
        </w:rPr>
        <w:t>[8] Deb K, Pratap A, Agarwal S 等. 一种快速且具有精英策略的多目标遗传算法：NSGA-II[J]. 《IEEE进化计算汇刊》，2002, 6(2): 182-197.</w:t>
      </w:r>
    </w:p>
    <w:p w14:paraId="5D5174DD">
      <w:pPr>
        <w:spacing w:line="300" w:lineRule="auto"/>
        <w:ind w:left="420" w:hanging="420"/>
      </w:pPr>
      <w:r>
        <w:rPr>
          <w:rFonts w:ascii="Times New Roman" w:hAnsi="Times New Roman" w:eastAsia="宋体"/>
          <w:color w:val="000000"/>
          <w:sz w:val="21"/>
          <w:szCs w:val="21"/>
        </w:rPr>
        <w:t>[9] Tian G S, Zhang L C. 基于Modelica和Simulink的多领域建模与协同仿真[J]. 《应用力学与材料》，2014，596：927-930.</w:t>
      </w:r>
    </w:p>
    <w:p w14:paraId="12184C8C">
      <w:pPr>
        <w:spacing w:line="300" w:lineRule="auto"/>
        <w:ind w:left="420" w:hanging="420"/>
      </w:pPr>
      <w:r>
        <w:rPr>
          <w:rFonts w:ascii="Times New Roman" w:hAnsi="Times New Roman" w:eastAsia="宋体"/>
          <w:color w:val="000000"/>
          <w:sz w:val="21"/>
          <w:szCs w:val="21"/>
        </w:rPr>
        <w:t>[10] Kolmanovsky I V, Garone E, Di Cairano S. 参考与指令调节器：其理论及汽车应用教程[C]. IEEE美国控制会议, 2014: 226-241.</w:t>
      </w:r>
    </w:p>
    <w:sectPr>
      <w:footerReference r:id="rId3" w:type="default"/>
      <w:pgSz w:w="11906" w:h="16838"/>
      <w:pgMar w:top="1418" w:right="1418" w:bottom="1418" w:left="1418"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7F6307">
    <w:pPr>
      <w:ind w:firstLine="0"/>
      <w:jc w:val="center"/>
    </w:pPr>
    <w:r>
      <w:rPr>
        <w:color w:val="000000"/>
      </w:rPr>
      <w:fldChar w:fldCharType="begin"/>
    </w:r>
    <w:r>
      <w:rPr>
        <w:color w:val="000000"/>
      </w:rPr>
      <w:instrText xml:space="preserve">PAGE</w:instrText>
    </w:r>
    <w:r>
      <w:rPr>
        <w:color w:val="000000"/>
      </w:rPr>
      <w:fldChar w:fldCharType="separate"/>
    </w:r>
    <w:r>
      <w:rPr>
        <w:color w:val="000000"/>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useFELayout/>
    <w:compatSetting w:name="compatibilityMode" w:uri="http://schemas.microsoft.com/office/word" w:val="15"/>
  </w:compat>
  <w:rsids>
    <w:rsidRoot w:val="00000000"/>
    <w:rsid w:val="35AB3062"/>
    <w:rsid w:val="7B146EE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color w:val="000000"/>
      <w:sz w:val="24"/>
      <w:szCs w:val="24"/>
    </w:rPr>
  </w:style>
  <w:style w:type="paragraph" w:styleId="2">
    <w:name w:val="heading 1"/>
    <w:next w:val="1"/>
    <w:qFormat/>
    <w:uiPriority w:val="0"/>
    <w:pPr>
      <w:spacing w:line="360" w:lineRule="auto"/>
      <w:ind w:firstLine="480"/>
    </w:pPr>
    <w:rPr>
      <w:rFonts w:ascii="Times New Roman" w:hAnsi="Times New Roman" w:eastAsia="宋体" w:cstheme="minorBidi"/>
      <w:color w:val="000000"/>
      <w:sz w:val="24"/>
      <w:szCs w:val="24"/>
    </w:rPr>
  </w:style>
  <w:style w:type="paragraph" w:styleId="3">
    <w:name w:val="heading 2"/>
    <w:next w:val="1"/>
    <w:qFormat/>
    <w:uiPriority w:val="0"/>
    <w:pPr>
      <w:spacing w:line="360" w:lineRule="auto"/>
      <w:ind w:firstLine="480"/>
    </w:pPr>
    <w:rPr>
      <w:rFonts w:ascii="Times New Roman" w:hAnsi="Times New Roman" w:eastAsia="宋体" w:cstheme="minorBidi"/>
      <w:color w:val="000000"/>
      <w:sz w:val="24"/>
      <w:szCs w:val="24"/>
    </w:rPr>
  </w:style>
  <w:style w:type="paragraph" w:styleId="4">
    <w:name w:val="heading 3"/>
    <w:next w:val="1"/>
    <w:qFormat/>
    <w:uiPriority w:val="0"/>
    <w:pPr>
      <w:spacing w:line="360" w:lineRule="auto"/>
      <w:ind w:firstLine="480"/>
    </w:pPr>
    <w:rPr>
      <w:rFonts w:ascii="Times New Roman" w:hAnsi="Times New Roman" w:eastAsia="宋体" w:cstheme="minorBidi"/>
      <w:color w:val="000000"/>
      <w:sz w:val="24"/>
      <w:szCs w:val="24"/>
    </w:rPr>
  </w:style>
  <w:style w:type="paragraph" w:styleId="5">
    <w:name w:val="heading 4"/>
    <w:next w:val="1"/>
    <w:qFormat/>
    <w:uiPriority w:val="0"/>
    <w:pPr>
      <w:spacing w:line="360" w:lineRule="auto"/>
      <w:ind w:firstLine="480"/>
    </w:pPr>
    <w:rPr>
      <w:rFonts w:ascii="Times New Roman" w:hAnsi="Times New Roman" w:eastAsia="宋体" w:cstheme="minorBidi"/>
      <w:color w:val="000000"/>
      <w:sz w:val="24"/>
      <w:szCs w:val="24"/>
    </w:rPr>
  </w:style>
  <w:style w:type="paragraph" w:styleId="6">
    <w:name w:val="heading 5"/>
    <w:next w:val="1"/>
    <w:qFormat/>
    <w:uiPriority w:val="0"/>
    <w:pPr>
      <w:spacing w:line="360" w:lineRule="auto"/>
      <w:ind w:firstLine="480"/>
    </w:pPr>
    <w:rPr>
      <w:rFonts w:ascii="Times New Roman" w:hAnsi="Times New Roman" w:eastAsia="宋体" w:cstheme="minorBidi"/>
      <w:color w:val="000000"/>
      <w:sz w:val="24"/>
      <w:szCs w:val="24"/>
    </w:rPr>
  </w:style>
  <w:style w:type="paragraph" w:styleId="7">
    <w:name w:val="heading 6"/>
    <w:next w:val="1"/>
    <w:qFormat/>
    <w:uiPriority w:val="0"/>
    <w:pPr>
      <w:spacing w:line="360" w:lineRule="auto"/>
      <w:ind w:firstLine="480"/>
    </w:pPr>
    <w:rPr>
      <w:rFonts w:ascii="Times New Roman" w:hAnsi="Times New Roman" w:eastAsia="宋体" w:cstheme="minorBidi"/>
      <w:color w:val="000000"/>
      <w:sz w:val="24"/>
      <w:szCs w:val="24"/>
    </w:rPr>
  </w:style>
  <w:style w:type="character" w:default="1" w:styleId="12">
    <w:name w:val="Default Paragraph Font"/>
    <w:semiHidden/>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ind w:firstLine="480"/>
    </w:pPr>
    <w:rPr>
      <w:rFonts w:ascii="Times New Roman" w:hAnsi="Times New Roman" w:eastAsia="宋体" w:cstheme="minorBidi"/>
      <w:color w:val="000000"/>
      <w:sz w:val="20"/>
      <w:szCs w:val="20"/>
    </w:rPr>
  </w:style>
  <w:style w:type="paragraph" w:styleId="9">
    <w:name w:val="footnote text"/>
    <w:link w:val="17"/>
    <w:semiHidden/>
    <w:unhideWhenUsed/>
    <w:qFormat/>
    <w:uiPriority w:val="99"/>
    <w:pPr>
      <w:spacing w:after="0" w:line="240" w:lineRule="auto"/>
      <w:ind w:firstLine="480"/>
    </w:pPr>
    <w:rPr>
      <w:rFonts w:ascii="Times New Roman" w:hAnsi="Times New Roman" w:eastAsia="宋体" w:cstheme="minorBidi"/>
      <w:color w:val="000000"/>
      <w:sz w:val="20"/>
      <w:szCs w:val="20"/>
    </w:rPr>
  </w:style>
  <w:style w:type="paragraph" w:styleId="10">
    <w:name w:val="Title"/>
    <w:qFormat/>
    <w:uiPriority w:val="0"/>
    <w:pPr>
      <w:spacing w:line="360" w:lineRule="auto"/>
      <w:ind w:firstLine="480"/>
    </w:pPr>
    <w:rPr>
      <w:rFonts w:ascii="Times New Roman" w:hAnsi="Times New Roman" w:eastAsia="宋体" w:cstheme="minorBidi"/>
      <w:color w:val="000000"/>
      <w:sz w:val="56"/>
      <w:szCs w:val="56"/>
    </w:rPr>
  </w:style>
  <w:style w:type="character" w:styleId="13">
    <w:name w:val="endnote reference"/>
    <w:semiHidden/>
    <w:unhideWhenUsed/>
    <w:qFormat/>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pPr>
      <w:spacing w:line="360" w:lineRule="auto"/>
      <w:ind w:firstLine="480"/>
    </w:pPr>
    <w:rPr>
      <w:rFonts w:ascii="Times New Roman" w:hAnsi="Times New Roman" w:eastAsia="宋体" w:cstheme="minorBidi"/>
      <w:color w:val="000000"/>
      <w:sz w:val="24"/>
      <w:szCs w:val="24"/>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26</Pages>
  <Words>10948</Words>
  <Characters>15897</Characters>
  <TotalTime>5</TotalTime>
  <ScaleCrop>false</ScaleCrop>
  <LinksUpToDate>false</LinksUpToDate>
  <CharactersWithSpaces>16645</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2026-07-15T09:29:00Z</dcterms:created>
  <dc:creator>MH Agent</dc:creator>
  <cp:keywords>, docId:2A0C2081722D60E902DF18DCFA3941AC</cp:keywords>
  <cp:lastModifiedBy>陈弋函</cp:lastModifiedBy>
  <dcterms:modified xsi:type="dcterms:W3CDTF">2026-07-15T14:12:52Z</dcterms:modified>
  <dc:title>main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eyJoZGlkIjoiMWJiYTgwZDY1NDUyMDQ4NzQ1MzQyMzY5OWQxOTIzNDQiLCJ1c2VySWQiOiIxMTYxMzk5MzE3In0=</vt:lpwstr>
  </property>
  <property fmtid="{D5CDD505-2E9C-101B-9397-08002B2CF9AE}" pid="3" name="KSOProductBuildVer">
    <vt:lpwstr>2052-12.1.0.26895</vt:lpwstr>
  </property>
  <property fmtid="{D5CDD505-2E9C-101B-9397-08002B2CF9AE}" pid="4" name="ICV">
    <vt:lpwstr>5E32B302DBC1438FBF1418EC5FEC3087_12</vt:lpwstr>
  </property>
</Properties>
</file>