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SimHei"/>
          <w:b/>
          <w:color w:val="000000"/>
          <w:sz w:val="36"/>
        </w:rPr>
        <w:t>参加挑战赛理由及作品亮点</w:t>
      </w:r>
    </w:p>
    <w:p>
      <w:pPr>
        <w:spacing w:after="320"/>
        <w:jc w:val="center"/>
      </w:pPr>
      <w:r>
        <w:rPr>
          <w:rFonts w:ascii="Times New Roman" w:hAnsi="Times New Roman" w:eastAsia="SimSun"/>
          <w:b w:val="0"/>
          <w:color w:val="444444"/>
          <w:sz w:val="21"/>
        </w:rPr>
        <w:t>赛题：A8 四旋翼无人机位姿控制系统设计优化　|　团队成员：陈弋函、郑皓天、汪德能　|　学校：西安交通大学城市学院　|　指导教师：庞志成</w:t>
      </w:r>
    </w:p>
    <w:p>
      <w:pPr>
        <w:spacing w:before="280" w:after="120"/>
      </w:pPr>
      <w:r>
        <w:rPr>
          <w:rFonts w:ascii="Times New Roman" w:hAnsi="Times New Roman" w:eastAsia="SimHei"/>
          <w:b/>
          <w:color w:val="000000"/>
          <w:sz w:val="28"/>
        </w:rPr>
        <w:t>一、参加挑战赛的理由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初赛结果公布后，我们没有直接去加功能，而是先对自己已提交的作品做了一次逐条复算：把报告中的每一个量化结论回溯到它的数据来源，凡是无法从提交的仿真输出复现的，一律作废。这次复算的结果并不好看——三处结论没有仿真支撑，一处功能模块从未接入控制回路，一项鲁棒性验证的计算方式与被测控制器无关。这些问题都写在我们提交的代码里，评审只要打开脚本就能看到，我们没有理由不自己先讲清楚。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更重要的是，这次复算让我们找到了初赛版本没能解释的那个核心矛盾：增强控制器把三类场景的路径跟踪精度都做上去了，姿态安全性却反而变差。初赛报告把它解释为“精度与安全之间的固有折中”，这是一句正确但没有信息量的话，也直接导致我们选错了处置手段——去收紧倾角指令限幅，而那是无效的。现在我们能用数据说清楚它到底为什么发生，以及为什么收紧限幅解决不了。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我们申请参加挑战赛，是希望以修正后的版本重新接受评审。作品的模型代码、参数依据与结论口径都已按复算结果重做，报告中每一条量化结论都可由提交的仿真输出直接复现。</w:t>
      </w:r>
    </w:p>
    <w:p>
      <w:pPr>
        <w:spacing w:before="280" w:after="120"/>
      </w:pPr>
      <w:r>
        <w:rPr>
          <w:rFonts w:ascii="Times New Roman" w:hAnsi="Times New Roman" w:eastAsia="SimHei"/>
          <w:b/>
          <w:color w:val="000000"/>
          <w:sz w:val="28"/>
        </w:rPr>
        <w:t>二、作品亮点</w:t>
      </w:r>
    </w:p>
    <w:p>
      <w:pPr>
        <w:spacing w:before="200" w:after="80"/>
      </w:pPr>
      <w:r>
        <w:rPr>
          <w:rFonts w:ascii="Times New Roman" w:hAnsi="Times New Roman" w:eastAsia="SimHei"/>
          <w:b/>
          <w:color w:val="000000"/>
          <w:sz w:val="25"/>
        </w:rPr>
        <w:t>亮点一　用 6/6 的因果证据定位了姿态超限的触发条件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统计三类场景、两种控制器共六组仿真、累计 220 秒飞行中的全部 15° 姿态超限采样点，并与参考轨迹的不连续时刻逐一对照：全部超限点都落在参考不连续之后 0.06 至 0.08 秒的窗口内，其余时段无一超限。参考轨迹本身存在两类不可行指令——爬升场景在 t=30.00 s 处参考速度出现折角，螺旋爬升场景在 t=10.00 s 处参考位置一步跳变 3.000 米，两者都要求无人机在一个仿真步长内完成有限的速度改变。位置外环的微分环节滤波常数默认 0.01 秒，与采样间隔同量级，等效微分增益约 100，参考折角经其放大后倾角指令在 3 至 4 个采样点内即打满限幅。</w:t>
      </w:r>
    </w:p>
    <w:p>
      <w:pPr>
        <w:spacing w:before="200" w:after="80"/>
      </w:pPr>
      <w:r>
        <w:rPr>
          <w:rFonts w:ascii="Times New Roman" w:hAnsi="Times New Roman" w:eastAsia="SimHei"/>
          <w:b/>
          <w:color w:val="000000"/>
          <w:sz w:val="25"/>
        </w:rPr>
        <w:t>亮点二　用对照实验推翻了两个解释，包括我们自己提出的那一个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参考不连续是触发条件，但不是充分条件。爬升场景本身提供了干净的对照组：该场景在 t=20.00 s 仅 ref_x 折角、t=40.00 s 仅 ref_y 折角、t=30.00 s 两轴同时折角。三个事件的指令侧完全等价，倾角指令均饱和至 9.500°、变化率均约 560°/s、上升时间均为 40 ms、事件起始姿态均接近零；姿态峰值却分别是 11.92°、17.39° 与 11.92°。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317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color w:val="000000"/>
                <w:sz w:val="21"/>
              </w:rPr>
              <w:t>事件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color w:val="000000"/>
                <w:sz w:val="21"/>
              </w:rPr>
              <w:t>倾角指令峰值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color w:val="000000"/>
                <w:sz w:val="21"/>
              </w:rPr>
              <w:t>实测姿态峰值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color w:val="000000"/>
                <w:sz w:val="21"/>
              </w:rPr>
              <w:t>电机指令摆幅比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color w:val="000000"/>
                <w:sz w:val="21"/>
              </w:rPr>
              <w:t>结果</w:t>
            </w:r>
          </w:p>
        </w:tc>
      </w:tr>
      <w:tr>
        <w:tc>
          <w:tcPr>
            <w:tcW w:type="dxa" w:w="317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t=20.0 s　仅 ref_x 折角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9.500°（饱和）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11.92°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1.05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合规</w:t>
            </w:r>
          </w:p>
        </w:tc>
      </w:tr>
      <w:tr>
        <w:tc>
          <w:tcPr>
            <w:tcW w:type="dxa" w:w="317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t=30.0 s　ref_x 与 ref_y 同时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9.500°（饱和）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17.39°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16.64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超限</w:t>
            </w:r>
          </w:p>
        </w:tc>
      </w:tr>
      <w:tr>
        <w:tc>
          <w:tcPr>
            <w:tcW w:type="dxa" w:w="317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t=40.0 s　仅 ref_y 折角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9.500°（饱和）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11.92°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1.05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合规</w:t>
            </w:r>
          </w:p>
        </w:tc>
      </w:tr>
    </w:tbl>
    <w:p>
      <w:pPr>
        <w:spacing w:after="40"/>
      </w:pP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差别发生在指令进入内环之后。反解姿态内环通道可见，t=30.00 s 时俯仰与横滚两路同时饱和于 ±6.1 达 7 个采样点，两个单轴事件均为 0 个；X 型混控使两轴需求在一对对角旋翼上同号叠加、在另一对上相消，四路电机指令摆幅为 18.01、1.08、16.82 与 1.25，而单轴事件是四路均衡的 8.4 至 8.8。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这里我们推翻的第二个解释来自我们自己。定位过程中我们一度认为超限源于增强模型内环阻尼不足，并写进了初稿。随后在两个干净单轴事件上重新辨识二阶模型（拟合优度 R²=0.982 至 0.995），得到基线 ζ=0.348、增强 ζ=0.358——增强版阻尼略高，而非更低。之所以先前看错，是因为把单入单出模型套在 t=30.00 s 这个双轴耦合事件上拟合，R² 降至 0.756，模型把无法解释的耦合量吸收成了虚假的低阻尼（ζ=0.252）。这个自我更正已写入报告 6.2 节。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我们同时给出反例，不做过度推广：8 字航迹在 t=10.00 s 处三轴同时不连续、两路内环也同时饱和 4 个采样点，姿态峰值却只有 9.41° 与 12.14°。因此“多轴同时饱和”同样不是充分条件，六个事件不足以确定充分条件。可确证的是触发条件与伴随特征，报告按此表述，未超出数据支撑的范围。</w:t>
      </w:r>
    </w:p>
    <w:p>
      <w:pPr>
        <w:spacing w:before="200" w:after="80"/>
      </w:pPr>
      <w:r>
        <w:rPr>
          <w:rFonts w:ascii="Times New Roman" w:hAnsi="Times New Roman" w:eastAsia="SimHei"/>
          <w:b/>
          <w:color w:val="000000"/>
          <w:sz w:val="25"/>
        </w:rPr>
        <w:t>亮点三　纠正了一处被指标口径掩盖的归因错误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初赛报告中螺旋爬升场景的路径 RMSE 只改善 1.01%（该值引自后来证实已过期、现已作废的 metrics_summary.json；按 MWorks 重跑与交付 CSV 的权威值，基线 0.487183 m、增强 0.474398 m，实际改善 2.62%），当时归因于“高度-圆周强耦合限制了横向外环改进的收益”。按时间分段统计可知，t=10.00 s 参考不连续后的 2 秒窗口贡献了该场景 RMSE 的 41.0%（基线）与 53.4%（增强），而该窗口只占总时长的 4%。剔除该窗口后两者的 RMSE 为 0.2877 m 与 0.2213 m，改善率由全程的 2.62% 升至 23.1%，与另两个场景处于同一量级。也就是说该场景近一半的 RMSE 来自参考轨迹的 3 米位置阶跃，反映的是参考不可行，控制器无法减小这部分误差。我们把分段统计明确标注为归因手段而非指标替代口径，报告第 4 章的 RMSE 仍以全程为准。</w:t>
      </w:r>
    </w:p>
    <w:p>
      <w:pPr>
        <w:spacing w:before="200" w:after="80"/>
      </w:pPr>
      <w:r>
        <w:rPr>
          <w:rFonts w:ascii="Times New Roman" w:hAnsi="Times New Roman" w:eastAsia="SimHei"/>
          <w:b/>
          <w:color w:val="000000"/>
          <w:sz w:val="25"/>
        </w:rPr>
        <w:t>亮点四　安全链的参数由数据分布确定，不依赖经验整定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既然收紧限幅无效，应当限制的是指令变化率。限速阈值由实测分布给出：剔除参考跳变窗口后，正常飞行的倾角指令变化率 p99.9 为 6.6 至 39.3 °/s、最大 46.0 °/s，而跳变段最大为 374.3 至 1500.0 °/s，两者相差 20 至 40 倍，中间存在宽阔的可分离区间。取阈值 60 °/s，高于全部场景正常飞行的最大需求，低于跳变激励一个数量级；在三场景实测数据上仅 0.06% 的采样点被限速触发，且全部位于跳变时刻。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姿态控制障碍函数的制动裕度同样由实测标定。姿态角约束相对倾角指令是相对度 2 的，静态幅值投影无法阻止超调，故引入角速率项构成扩展障碍函数，使指令允许幅值随角速率收缩。实测姿态峰值前 20 ms 的角速率为 245 至 330 °/s、对应超出指令约 7°，制动距离约 0.026 秒，取 0.035 秒留裕度。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这里有一处取舍值得说明：对位置参考做低通整形同样能削平不连续，但会在匀速段引入 0.1 至 0.2 米的稳态滞后，与本作品 0.15 至 0.23 米的路径 RMSE 同量级，属于拆东墙补西墙。限速环节作用于控制器内部信号、不改变位置参考，因此不引入跟踪滞后。</w:t>
      </w:r>
    </w:p>
    <w:p>
      <w:pPr>
        <w:spacing w:before="200" w:after="80"/>
      </w:pPr>
      <w:r>
        <w:rPr>
          <w:rFonts w:ascii="Times New Roman" w:hAnsi="Times New Roman" w:eastAsia="SimHei"/>
          <w:b/>
          <w:color w:val="000000"/>
          <w:sz w:val="25"/>
        </w:rPr>
        <w:t>亮点五　安全链与编队从“有定义”变成“真正在回路里”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初赛版本定义了 CBF、PPC、ERG 与姿态预警四个模块，但它们在全部模型中均无实例化与连接语句，未进入控制回路。本次提供两级实现：第一层通过 redeclare 替换位置环控制器，不改动控制器内部接线；第二层按原控制器连线逐条等价重写，在倾角通道串入限速与障碍函数，并输出超限累计时长等统计量。两级都配了消融开关，用于分离各模块的独立贡献。等价重写附带回归模型，先过这一关再谈结论：关闭安全链、倾角限幅改回 9.5° 后，其路径 RMSE 为 0.228016 m，与队友在 MWorks 上重跑原增强模型得到的 0.228024 m 相差 0.000008 m（0.0035%）；该模型报出的 15° 超限累计时长 0.030 s，也与交付 CSV 复算的结果完全吻合。回归通过，后续安全链结论才据此成立。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编队部分从“固定偏移加延迟跟随”改为领航-跟随一致性编队加势场避撞。一致性项使用机间相对测量，使编队作为整体收敛，而非各机独立跟随自己的偏移量。在与模型同一组方程的独立复现上完成三项测试：标称编队稳态队形误差均值 0.110 米、最小机间距 4.10 米；僚机初始偏离 5 米时，0.67 秒内收敛至 1 米以内、0.83 秒内收敛至 0.2 米以内；把期望队形本身设为违反安全间距（期望 0.40 米、安全距离 2.0 米）时，势场将实际间距撑至 1.53 米并稳定。此后队友在 MWorks 上跑通了 Modelica 编队模型，两侧构成一次交叉验证：最大队形误差 Modelica 实测 0.552288 m、Python 复现 0.5518 m，偏差 0.09%；最小机间距 Modelica 实测 4.097131 m、Python 复现 4.0970 m，偏差 0.00%。Modelica 侧另给出领航机航迹跟踪误差最大值 0.639396 m。两套实现是各自独立写出的同一组方程，吻合到 0.1% 以内，可确认编队控制律的实现无误。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边界一并写明：势场是软约束。避撞增益由 1.5 增至 100 时，冲突队形下的稳态间距由 0.98 米单调升至 1.78 米，渐近于安全距离而无法达到。当期望队形本身违反安全间距时，本算法只能缓解、不能保证；要获得硬保证需把机间距约束也写成障碍函数并求解二次规划。我们没有把它写成“保证不碰撞”。</w:t>
      </w:r>
    </w:p>
    <w:p>
      <w:pPr>
        <w:spacing w:before="200" w:after="80"/>
      </w:pPr>
      <w:r>
        <w:rPr>
          <w:rFonts w:ascii="Times New Roman" w:hAnsi="Times New Roman" w:eastAsia="SimHei"/>
          <w:b/>
          <w:color w:val="000000"/>
          <w:sz w:val="25"/>
        </w:rPr>
        <w:t>亮点六　安全链的效果由 MWorks 重跑给出，消融实验得到一个反直觉结论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安全链已由队友在 MWorks Sysplorer 上完成重跑，不再是纸面设计。三个场景、两级实现共六个模型，15° 姿态超限累计时长全部为 0；对照组中，关闭安全链的等价性回归模型为 0.030 s，仅开障碍函数的 ClimbCBFOnly 为 0.060 s。接入限速后三场景的路径 RMSE 为 0.236546 m、0.467209 m、0.147845 m，相对基线 PID 仍分别改善 14.06%、4.10% 与 14.20%，爬升场景的阶跃超调由基线的 1.691141% 降至 1.5249%。这次重跑同时把三个原模型一并跑过，增强控制器相对基线的路径 RMSE 改善率为 17.16%、2.62% 与 13.47%。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消融实验给出的结论与直觉相反：消除超限的是限速（ERG），不是障碍函数（CBF）。仅开 CBF 时超限累计时长为 0.060 s，比不开安全链的 0.030 s 还高——因其倾角限幅为 12°，比等价性回归模型的 9.5° 更宽松；仅开 ERG 即归零。更进一步，ClimbSafeFull 与 ClimbERGOnly 的路径 RMSE 逐位相同，均为 0.236552 m，CBF 累计修正量为 0，即限速开启之后障碍函数一次也没有触发过：限速已使姿态不再接近约束边界，CBF 没有介入的机会。这与第 6 章的机理分析一致——超限由指令阶跃激发，作用于指令幅值的障碍函数拦不住响应超调，限制指令变化率才是对症手段。我们保留 CBF 作为冗余，但不把超限归零算在它头上。另一组对照（基线 PID 加限速）路径 RMSE 为 0.279932 m，相对基线劣化 1.70%，超限时长为 0，阶跃超调 1.691141% 与基线相同，说明限速本身不改变超调特性，只消除超限。</w:t>
      </w:r>
    </w:p>
    <w:p>
      <w:pPr>
        <w:spacing w:before="200" w:after="80"/>
      </w:pPr>
      <w:r>
        <w:rPr>
          <w:rFonts w:ascii="Times New Roman" w:hAnsi="Times New Roman" w:eastAsia="SimHei"/>
          <w:b/>
          <w:color w:val="000000"/>
          <w:sz w:val="25"/>
        </w:rPr>
        <w:t>亮点七　把“结论可复算”做成了方法约束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本次改版对每一条量化结论都标明数据来源与复算方式，凡需重新仿真方能给出的指标，在仿真完成之前一律留空（这些空位现已由本次 MWorks 重跑逐条填实），不以离线后处理数值替代闭环仿真结果，并在报告 6.5 节预先写定各项验证的通过判据——在实验执行之前确定判据，避免出现“结果不理想就引入补偿系数”的做法。统计口径上，把依赖仿真输出间隔的“超限采样点数”改为连续量“超限累计时长”：同一条轨迹改变输出间隔，点数就会变，而累计时长不会。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按这条约束，有一处必须如实说明：预注册判据二未能全部达成。该判据要求接入安全链后各场景路径 RMSE 相对增强模型的劣化不超过 3%，实际是 2/3 通过——螺旋爬升 −1.52%、8 字航迹 −0.84%，两者反而改善；爬升场景为 +3.74%（0.228024 m 增至 0.236546 m），超出 3% 门槛 0.74 个百分点，此项判为未达标。这条判据当初写定时，用的基准是 metrics_summary.json 里的 0.23289 m，按那个值算劣化只有 +1.57%，看上去是达标的；重跑证实该文件过期、正确基准为 0.228024 m 之后，同一组结果就变成了不达标。我们不因基准被修正而回头放宽判据，此项按未达标记录在案。工程上这笔账是清楚的：爬升场景以 3.74% 的跟踪精度换来 15° 超限从 0.030 s 归零，我们认为这笔交换值得做；但值得做和达标是两回事，它没有通过我们自己在实验之前写下的那条线，我们就不写成通过。</w:t>
      </w:r>
    </w:p>
    <w:p>
      <w:pPr>
        <w:spacing w:before="280" w:after="120"/>
      </w:pPr>
      <w:r>
        <w:rPr>
          <w:rFonts w:ascii="Times New Roman" w:hAnsi="Times New Roman" w:eastAsia="SimHei"/>
          <w:b/>
          <w:color w:val="000000"/>
          <w:sz w:val="28"/>
        </w:rPr>
        <w:t>三、初赛版本的自查与更正清单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以下问题由我们自己复算发现，均已在本次提交的报告与模型中更正。列出它们，是因为对应的代码就在初赛提交物里，如实说明比让评审自己去发现更合适。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color w:val="000000"/>
                <w:sz w:val="21"/>
              </w:rPr>
              <w:t>初赛版本的结论</w:t>
            </w:r>
          </w:p>
        </w:tc>
        <w:tc>
          <w:tcPr>
            <w:tcW w:type="dxa" w:w="362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color w:val="000000"/>
                <w:sz w:val="21"/>
              </w:rPr>
              <w:t>复算发现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color w:val="000000"/>
                <w:sz w:val="21"/>
              </w:rPr>
              <w:t>本次处置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三类场景 RMSE 经安全链补偿降低 53.0%、52.0%、55.0%</w:t>
            </w:r>
          </w:p>
        </w:tc>
        <w:tc>
          <w:tcPr>
            <w:tcW w:type="dxa" w:w="362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由基线 RMSE 乘硬编码系数 0.47、0.48、0.45 得到，无算法参与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整段删除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阶跃超调降低 65.00%</w:t>
            </w:r>
          </w:p>
        </w:tc>
        <w:tc>
          <w:tcPr>
            <w:tcW w:type="dxa" w:w="362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由基线超调乘 0.35 得到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整段删除，保留真实的 1.691%→1.525%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180 组蒙特卡洛 P95 退化率均低于 15% 阈值</w:t>
            </w:r>
          </w:p>
        </w:tc>
        <w:tc>
          <w:tcPr>
            <w:tcW w:type="dxa" w:w="362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退化率算式中标称 RMSE 被约去，结果与控制器无关；把标称值在 10⁻³ 至 10⁴ 间取值，均值、P95、最大值完全相同。另有 0.20 至 0.25 的压缩系数与姿态角强制钳位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证伪该方法，改列未压缩的原始统计量，并给出可执行的闭环验证方案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集成四大安全模块，形成协同闭环架构</w:t>
            </w:r>
          </w:p>
        </w:tc>
        <w:tc>
          <w:tcPr>
            <w:tcW w:type="dxa" w:w="362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四个模块在全部模型中无实例化、无 connect 语句，未进入控制回路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改为如实说明，并完成真正接入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三机编队最大队形误差 0.861 m</w:t>
            </w:r>
          </w:p>
        </w:tc>
        <w:tc>
          <w:tcPr>
            <w:tcW w:type="dxa" w:w="362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该值是 0.12 秒延迟造成的几何偏差，实现中不含控制律、无扰动恢复与避撞能力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重写为一致性编队加势场避撞，并补三项测试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表 3 扰动为高斯白噪声、质量偏差 ±10%</w:t>
            </w:r>
          </w:p>
        </w:tc>
        <w:tc>
          <w:tcPr>
            <w:tcW w:type="dxa" w:w="362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代码实际为均匀分布，质量偏差 ±20%，风扰 0 至 5 m/s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按代码实际改正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报告表 1 增强模型指标</w:t>
            </w:r>
          </w:p>
        </w:tc>
        <w:tc>
          <w:tcPr>
            <w:tcW w:type="dxa" w:w="362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交付的增强场景 CSV 与指标文件来自不同次运行，路径 RMSE 相差 1.63% 至 2.49%，姿态超限点数亦有出入；基线三组则逐位一致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该问题已由本次 MWorks 重跑解决：六个原模型全部重跑，指标与仿真输出 CSV 由同一次运行生成、逐位吻合，metrics_summary.json 作废。按修正后的口径，三场景路径 RMSE 改善率为 17.16%、2.62%、13.47%，均高于初赛报告所写的 15.39%、1.01%、11.26%——初赛因引用过期指标文件，低报了自己的成绩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SimHei"/>
          <w:b/>
          <w:color w:val="000000"/>
          <w:sz w:val="28"/>
        </w:rPr>
        <w:t>四、结论的可复算性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报告中的机理类结论均可由提交的仿真输出 CSV 直接复现，复算脚本随作品一并提交，包括控制器通道的反推与校验、超限事件的时序定位、误差的分段分解、指令变化率的分布统计与编队控制律的独立复现。控制器通道反推的正确性有独立校验：反推的倾角指令与实测姿态角在六组数据上的相关系数为 0.929 至 0.996，横滚通道反馈的符号约定也被数据印证。</w:t>
      </w:r>
    </w:p>
    <w:p>
      <w:pPr>
        <w:spacing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>我们也如实记录了一次失败的尝试。为预测安全链接入后的姿态峰值，我们先用 ARX 模型辨识姿态内环，模型对 9.5° 阶跃只给出 6% 的超调，而实测放大比为 1.76。线性辨识抓不住这一过程中的饱和非线性，因此该模型被弃用，没有用它产生任何写入报告的结论。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