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62361">
      <w:pPr>
        <w:rPr>
          <w:b/>
        </w:rPr>
      </w:pPr>
      <w:bookmarkStart w:id="0" w:name="_T_2003_______________Intl_Software_Dev_"/>
      <w:bookmarkEnd w:id="0"/>
      <w:bookmarkStart w:id="1" w:name="_Hlk34318002"/>
    </w:p>
    <w:p w14:paraId="709817C0">
      <w:pPr>
        <w:ind w:firstLine="480"/>
      </w:pPr>
    </w:p>
    <w:p w14:paraId="15D426F3">
      <w:pPr>
        <w:ind w:firstLine="480"/>
      </w:pPr>
    </w:p>
    <w:p w14:paraId="06E6F80C">
      <w:pPr>
        <w:ind w:firstLine="480"/>
      </w:pPr>
    </w:p>
    <w:p w14:paraId="65C68793">
      <w:pPr>
        <w:ind w:firstLine="480"/>
        <w:rPr>
          <w:color w:val="000000" w:themeColor="text1"/>
          <w14:textFill>
            <w14:solidFill>
              <w14:schemeClr w14:val="tx1"/>
            </w14:solidFill>
          </w14:textFill>
        </w:rPr>
      </w:pPr>
    </w:p>
    <w:p w14:paraId="0C4BFA7B">
      <w:pPr>
        <w:ind w:firstLine="480"/>
        <w:rPr>
          <w:color w:val="000000" w:themeColor="text1"/>
          <w14:textFill>
            <w14:solidFill>
              <w14:schemeClr w14:val="tx1"/>
            </w14:solidFill>
          </w14:textFill>
        </w:rPr>
      </w:pPr>
    </w:p>
    <w:p w14:paraId="59D4FF9F">
      <w:pPr>
        <w:ind w:firstLine="480"/>
        <w:rPr>
          <w:color w:val="000000" w:themeColor="text1"/>
          <w14:textFill>
            <w14:solidFill>
              <w14:schemeClr w14:val="tx1"/>
            </w14:solidFill>
          </w14:textFill>
        </w:rPr>
      </w:pPr>
    </w:p>
    <w:p w14:paraId="5B5F66C7">
      <w:pPr>
        <w:ind w:firstLine="480"/>
        <w:jc w:val="center"/>
        <w:rPr>
          <w:color w:val="000000" w:themeColor="text1"/>
          <w14:textFill>
            <w14:solidFill>
              <w14:schemeClr w14:val="tx1"/>
            </w14:solidFill>
          </w14:textFill>
        </w:rPr>
      </w:pPr>
    </w:p>
    <w:p w14:paraId="75F6CF55">
      <w:pPr>
        <w:ind w:firstLine="560"/>
        <w:jc w:val="center"/>
        <w:rPr>
          <w:color w:val="000000" w:themeColor="text1"/>
          <w:sz w:val="28"/>
          <w:szCs w:val="28"/>
          <w14:textFill>
            <w14:solidFill>
              <w14:schemeClr w14:val="tx1"/>
            </w14:solidFill>
          </w14:textFill>
        </w:rPr>
      </w:pPr>
    </w:p>
    <w:p w14:paraId="187CF76D">
      <w:pPr>
        <w:jc w:val="center"/>
        <w:rPr>
          <w:rFonts w:ascii="黑体" w:eastAsia="黑体"/>
          <w:color w:val="000000" w:themeColor="text1"/>
          <w:sz w:val="52"/>
          <w:szCs w:val="48"/>
          <w14:textFill>
            <w14:solidFill>
              <w14:schemeClr w14:val="tx1"/>
            </w14:solidFill>
          </w14:textFill>
        </w:rPr>
      </w:pPr>
      <w:r>
        <w:rPr>
          <w:rFonts w:hint="eastAsia" w:ascii="黑体" w:eastAsia="黑体"/>
          <w:color w:val="000000" w:themeColor="text1"/>
          <w:sz w:val="52"/>
          <w:szCs w:val="48"/>
          <w14:textFill>
            <w14:solidFill>
              <w14:schemeClr w14:val="tx1"/>
            </w14:solidFill>
          </w14:textFill>
        </w:rPr>
        <w:t>中国软件杯A8赛题</w:t>
      </w:r>
    </w:p>
    <w:p w14:paraId="0D2CDAB5">
      <w:pPr>
        <w:jc w:val="center"/>
        <w:rPr>
          <w:rFonts w:ascii="黑体" w:eastAsia="黑体"/>
          <w:color w:val="000000" w:themeColor="text1"/>
          <w:sz w:val="48"/>
          <w:szCs w:val="44"/>
          <w14:textFill>
            <w14:solidFill>
              <w14:schemeClr w14:val="tx1"/>
            </w14:solidFill>
          </w14:textFill>
        </w:rPr>
      </w:pPr>
      <w:r>
        <w:rPr>
          <w:rFonts w:hint="eastAsia" w:ascii="黑体" w:eastAsia="黑体"/>
          <w:color w:val="000000" w:themeColor="text1"/>
          <w:sz w:val="52"/>
          <w:szCs w:val="48"/>
          <w14:textFill>
            <w14:solidFill>
              <w14:schemeClr w14:val="tx1"/>
            </w14:solidFill>
          </w14:textFill>
        </w:rPr>
        <w:t>仿真分析报告</w:t>
      </w:r>
    </w:p>
    <w:p w14:paraId="0CCEF785">
      <w:pPr>
        <w:ind w:firstLine="480"/>
        <w:rPr>
          <w:color w:val="000000" w:themeColor="text1"/>
          <w14:textFill>
            <w14:solidFill>
              <w14:schemeClr w14:val="tx1"/>
            </w14:solidFill>
          </w14:textFill>
        </w:rPr>
      </w:pPr>
    </w:p>
    <w:p w14:paraId="7AFA71C5">
      <w:pPr>
        <w:ind w:firstLine="480"/>
        <w:rPr>
          <w:color w:val="000000" w:themeColor="text1"/>
          <w14:textFill>
            <w14:solidFill>
              <w14:schemeClr w14:val="tx1"/>
            </w14:solidFill>
          </w14:textFill>
        </w:rPr>
      </w:pPr>
    </w:p>
    <w:p w14:paraId="74EB8534">
      <w:pPr>
        <w:ind w:firstLine="480"/>
        <w:rPr>
          <w:color w:val="000000" w:themeColor="text1"/>
          <w14:textFill>
            <w14:solidFill>
              <w14:schemeClr w14:val="tx1"/>
            </w14:solidFill>
          </w14:textFill>
        </w:rPr>
      </w:pPr>
    </w:p>
    <w:p w14:paraId="0A6218CD">
      <w:pPr>
        <w:ind w:firstLine="480"/>
        <w:rPr>
          <w:color w:val="000000" w:themeColor="text1"/>
          <w14:textFill>
            <w14:solidFill>
              <w14:schemeClr w14:val="tx1"/>
            </w14:solidFill>
          </w14:textFill>
        </w:rPr>
      </w:pPr>
    </w:p>
    <w:p w14:paraId="705E1C27">
      <w:pPr>
        <w:ind w:firstLine="480"/>
        <w:rPr>
          <w:color w:val="000000" w:themeColor="text1"/>
          <w14:textFill>
            <w14:solidFill>
              <w14:schemeClr w14:val="tx1"/>
            </w14:solidFill>
          </w14:textFill>
        </w:rPr>
      </w:pPr>
    </w:p>
    <w:p w14:paraId="656B0066">
      <w:pPr>
        <w:ind w:firstLine="480"/>
        <w:rPr>
          <w:color w:val="000000" w:themeColor="text1"/>
          <w14:textFill>
            <w14:solidFill>
              <w14:schemeClr w14:val="tx1"/>
            </w14:solidFill>
          </w14:textFill>
        </w:rPr>
      </w:pPr>
    </w:p>
    <w:p w14:paraId="54FB2930">
      <w:pPr>
        <w:ind w:firstLine="480"/>
        <w:rPr>
          <w:color w:val="000000" w:themeColor="text1"/>
          <w14:textFill>
            <w14:solidFill>
              <w14:schemeClr w14:val="tx1"/>
            </w14:solidFill>
          </w14:textFill>
        </w:rPr>
      </w:pPr>
    </w:p>
    <w:p w14:paraId="4267F200">
      <w:pPr>
        <w:ind w:firstLine="480"/>
        <w:rPr>
          <w:color w:val="000000" w:themeColor="text1"/>
          <w14:textFill>
            <w14:solidFill>
              <w14:schemeClr w14:val="tx1"/>
            </w14:solidFill>
          </w14:textFill>
        </w:rPr>
      </w:pPr>
    </w:p>
    <w:p w14:paraId="28BBC27E">
      <w:pPr>
        <w:ind w:firstLine="480"/>
        <w:rPr>
          <w:color w:val="000000" w:themeColor="text1"/>
          <w14:textFill>
            <w14:solidFill>
              <w14:schemeClr w14:val="tx1"/>
            </w14:solidFill>
          </w14:textFill>
        </w:rPr>
      </w:pPr>
    </w:p>
    <w:p w14:paraId="4621231B">
      <w:pPr>
        <w:ind w:firstLine="480"/>
        <w:rPr>
          <w:color w:val="000000" w:themeColor="text1"/>
          <w14:textFill>
            <w14:solidFill>
              <w14:schemeClr w14:val="tx1"/>
            </w14:solidFill>
          </w14:textFill>
        </w:rPr>
      </w:pPr>
    </w:p>
    <w:p w14:paraId="004C99A8">
      <w:pPr>
        <w:ind w:firstLine="480"/>
        <w:rPr>
          <w:color w:val="000000" w:themeColor="text1"/>
          <w14:textFill>
            <w14:solidFill>
              <w14:schemeClr w14:val="tx1"/>
            </w14:solidFill>
          </w14:textFill>
        </w:rPr>
      </w:pPr>
    </w:p>
    <w:p w14:paraId="15AF6327">
      <w:pPr>
        <w:ind w:firstLine="480"/>
        <w:rPr>
          <w:color w:val="000000" w:themeColor="text1"/>
          <w14:textFill>
            <w14:solidFill>
              <w14:schemeClr w14:val="tx1"/>
            </w14:solidFill>
          </w14:textFill>
        </w:rPr>
      </w:pPr>
    </w:p>
    <w:p w14:paraId="047B8D97">
      <w:pPr>
        <w:ind w:firstLine="480"/>
        <w:rPr>
          <w:color w:val="000000" w:themeColor="text1"/>
          <w14:textFill>
            <w14:solidFill>
              <w14:schemeClr w14:val="tx1"/>
            </w14:solidFill>
          </w14:textFill>
        </w:rPr>
      </w:pPr>
    </w:p>
    <w:p w14:paraId="12F3811A">
      <w:pPr>
        <w:ind w:firstLine="480"/>
        <w:rPr>
          <w:color w:val="000000" w:themeColor="text1"/>
          <w14:textFill>
            <w14:solidFill>
              <w14:schemeClr w14:val="tx1"/>
            </w14:solidFill>
          </w14:textFill>
        </w:rPr>
      </w:pPr>
    </w:p>
    <w:p w14:paraId="22AC84AA">
      <w:pPr>
        <w:ind w:firstLine="480"/>
        <w:rPr>
          <w:color w:val="000000" w:themeColor="text1"/>
          <w14:textFill>
            <w14:solidFill>
              <w14:schemeClr w14:val="tx1"/>
            </w14:solidFill>
          </w14:textFill>
        </w:rPr>
      </w:pPr>
    </w:p>
    <w:p w14:paraId="4F6A3EF6">
      <w:pPr>
        <w:ind w:firstLine="480"/>
        <w:rPr>
          <w:color w:val="000000" w:themeColor="text1"/>
          <w14:textFill>
            <w14:solidFill>
              <w14:schemeClr w14:val="tx1"/>
            </w14:solidFill>
          </w14:textFill>
        </w:rPr>
      </w:pPr>
    </w:p>
    <w:bookmarkEnd w:id="1"/>
    <w:tbl>
      <w:tblPr>
        <w:tblStyle w:val="16"/>
        <w:tblW w:w="0" w:type="auto"/>
        <w:tblInd w:w="158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2"/>
        <w:gridCol w:w="4718"/>
      </w:tblGrid>
      <w:tr w14:paraId="19C1A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432" w:type="dxa"/>
            <w:vAlign w:val="center"/>
          </w:tcPr>
          <w:p w14:paraId="39FE412E">
            <w:pPr>
              <w:contextualSpacing/>
              <w:jc w:val="distribute"/>
              <w:textAlignment w:val="baseline"/>
              <w:rPr>
                <w:color w:val="000000" w:themeColor="text1"/>
                <w14:textFill>
                  <w14:solidFill>
                    <w14:schemeClr w14:val="tx1"/>
                  </w14:solidFill>
                </w14:textFill>
              </w:rPr>
            </w:pPr>
            <w:r>
              <w:rPr>
                <w:rFonts w:hint="eastAsia"/>
                <w:color w:val="000000" w:themeColor="text1"/>
                <w14:textFill>
                  <w14:solidFill>
                    <w14:schemeClr w14:val="tx1"/>
                  </w14:solidFill>
                </w14:textFill>
              </w:rPr>
              <w:t>作品名称</w:t>
            </w:r>
          </w:p>
        </w:tc>
        <w:tc>
          <w:tcPr>
            <w:tcW w:w="4718" w:type="dxa"/>
            <w:vAlign w:val="center"/>
          </w:tcPr>
          <w:p w14:paraId="6A174512">
            <w:pPr>
              <w:contextualSpacing/>
              <w:jc w:val="left"/>
              <w:textAlignment w:val="baseline"/>
              <w:rPr>
                <w:color w:val="000000" w:themeColor="text1"/>
                <w14:textFill>
                  <w14:solidFill>
                    <w14:schemeClr w14:val="tx1"/>
                  </w14:solidFill>
                </w14:textFill>
              </w:rPr>
            </w:pPr>
            <w:r>
              <w:rPr>
                <w:rFonts w:hint="eastAsia"/>
                <w:color w:val="000000" w:themeColor="text1"/>
                <w14:textFill>
                  <w14:solidFill>
                    <w14:schemeClr w14:val="tx1"/>
                  </w14:solidFill>
                </w14:textFill>
              </w:rPr>
              <w:t>：四旋翼无人机位姿控制系统设计优化</w:t>
            </w:r>
          </w:p>
        </w:tc>
      </w:tr>
      <w:tr w14:paraId="4EDF6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432" w:type="dxa"/>
            <w:vAlign w:val="center"/>
          </w:tcPr>
          <w:p w14:paraId="35717062">
            <w:pPr>
              <w:contextualSpacing/>
              <w:jc w:val="distribute"/>
              <w:textAlignment w:val="baseline"/>
              <w:rPr>
                <w:color w:val="000000" w:themeColor="text1"/>
                <w14:textFill>
                  <w14:solidFill>
                    <w14:schemeClr w14:val="tx1"/>
                  </w14:solidFill>
                </w14:textFill>
              </w:rPr>
            </w:pPr>
            <w:r>
              <w:rPr>
                <w:rFonts w:hint="eastAsia"/>
                <w:color w:val="000000" w:themeColor="text1"/>
                <w14:textFill>
                  <w14:solidFill>
                    <w14:schemeClr w14:val="tx1"/>
                  </w14:solidFill>
                </w14:textFill>
              </w:rPr>
              <w:t>团队成员</w:t>
            </w:r>
          </w:p>
        </w:tc>
        <w:tc>
          <w:tcPr>
            <w:tcW w:w="4718" w:type="dxa"/>
            <w:vAlign w:val="center"/>
          </w:tcPr>
          <w:p w14:paraId="5BF13086">
            <w:pPr>
              <w:contextualSpacing/>
              <w:jc w:val="left"/>
              <w:textAlignment w:val="baseline"/>
              <w:rPr>
                <w:color w:val="000000" w:themeColor="text1"/>
                <w14:textFill>
                  <w14:solidFill>
                    <w14:schemeClr w14:val="tx1"/>
                  </w14:solidFill>
                </w14:textFill>
              </w:rPr>
            </w:pPr>
            <w:r>
              <w:rPr>
                <w:rFonts w:hint="eastAsia"/>
                <w:color w:val="000000" w:themeColor="text1"/>
                <w14:textFill>
                  <w14:solidFill>
                    <w14:schemeClr w14:val="tx1"/>
                  </w14:solidFill>
                </w14:textFill>
              </w:rPr>
              <w:t>：陈弋函、郑皓天、汪德能</w:t>
            </w:r>
          </w:p>
        </w:tc>
      </w:tr>
      <w:tr w14:paraId="283C8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432" w:type="dxa"/>
            <w:vAlign w:val="center"/>
          </w:tcPr>
          <w:p w14:paraId="6B36DA9B">
            <w:pPr>
              <w:contextualSpacing/>
              <w:jc w:val="distribute"/>
              <w:textAlignment w:val="baseline"/>
              <w:rPr>
                <w:color w:val="000000" w:themeColor="text1"/>
                <w14:textFill>
                  <w14:solidFill>
                    <w14:schemeClr w14:val="tx1"/>
                  </w14:solidFill>
                </w14:textFill>
              </w:rPr>
            </w:pPr>
            <w:r>
              <w:rPr>
                <w:rFonts w:hint="eastAsia"/>
                <w:color w:val="000000" w:themeColor="text1"/>
                <w14:textFill>
                  <w14:solidFill>
                    <w14:schemeClr w14:val="tx1"/>
                  </w14:solidFill>
                </w14:textFill>
              </w:rPr>
              <w:t>学校</w:t>
            </w:r>
          </w:p>
        </w:tc>
        <w:tc>
          <w:tcPr>
            <w:tcW w:w="4718" w:type="dxa"/>
            <w:vAlign w:val="center"/>
          </w:tcPr>
          <w:p w14:paraId="326D5AAE">
            <w:pPr>
              <w:contextualSpacing/>
              <w:jc w:val="left"/>
              <w:textAlignment w:val="baseline"/>
              <w:rPr>
                <w:color w:val="000000" w:themeColor="text1"/>
                <w14:textFill>
                  <w14:solidFill>
                    <w14:schemeClr w14:val="tx1"/>
                  </w14:solidFill>
                </w14:textFill>
              </w:rPr>
            </w:pPr>
            <w:r>
              <w:rPr>
                <w:rFonts w:hint="eastAsia"/>
                <w:color w:val="000000" w:themeColor="text1"/>
                <w14:textFill>
                  <w14:solidFill>
                    <w14:schemeClr w14:val="tx1"/>
                  </w14:solidFill>
                </w14:textFill>
              </w:rPr>
              <w:t>：西安交通大学城市学院</w:t>
            </w:r>
          </w:p>
        </w:tc>
      </w:tr>
      <w:tr w14:paraId="45F6B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trPr>
        <w:tc>
          <w:tcPr>
            <w:tcW w:w="1432" w:type="dxa"/>
            <w:vAlign w:val="center"/>
          </w:tcPr>
          <w:p w14:paraId="3624E4A0">
            <w:pPr>
              <w:contextualSpacing/>
              <w:jc w:val="distribute"/>
              <w:textAlignment w:val="baseline"/>
              <w:rPr>
                <w:color w:val="000000" w:themeColor="text1"/>
                <w14:textFill>
                  <w14:solidFill>
                    <w14:schemeClr w14:val="tx1"/>
                  </w14:solidFill>
                </w14:textFill>
              </w:rPr>
            </w:pPr>
            <w:r>
              <w:rPr>
                <w:rFonts w:hint="eastAsia"/>
                <w:color w:val="000000" w:themeColor="text1"/>
                <w14:textFill>
                  <w14:solidFill>
                    <w14:schemeClr w14:val="tx1"/>
                  </w14:solidFill>
                </w14:textFill>
              </w:rPr>
              <w:t>指导教师</w:t>
            </w:r>
          </w:p>
        </w:tc>
        <w:tc>
          <w:tcPr>
            <w:tcW w:w="4718" w:type="dxa"/>
            <w:vAlign w:val="center"/>
          </w:tcPr>
          <w:p w14:paraId="40638BCB">
            <w:pPr>
              <w:contextualSpacing/>
              <w:jc w:val="left"/>
              <w:textAlignment w:val="baseline"/>
              <w:rPr>
                <w:color w:val="000000" w:themeColor="text1"/>
                <w14:textFill>
                  <w14:solidFill>
                    <w14:schemeClr w14:val="tx1"/>
                  </w14:solidFill>
                </w14:textFill>
              </w:rPr>
            </w:pPr>
            <w:r>
              <w:rPr>
                <w:rFonts w:hint="eastAsia"/>
                <w:color w:val="000000" w:themeColor="text1"/>
                <w14:textFill>
                  <w14:solidFill>
                    <w14:schemeClr w14:val="tx1"/>
                  </w14:solidFill>
                </w14:textFill>
              </w:rPr>
              <w:t>：庞志成</w:t>
            </w:r>
          </w:p>
        </w:tc>
      </w:tr>
    </w:tbl>
    <w:p w14:paraId="23F241EC">
      <w:pPr>
        <w:pStyle w:val="2"/>
        <w:spacing w:before="240" w:after="120" w:line="276" w:lineRule="auto"/>
        <w:ind w:firstLine="0"/>
        <w:jc w:val="center"/>
        <w:rPr>
          <w:rFonts w:eastAsia="黑体"/>
          <w:b/>
          <w:bCs/>
          <w:sz w:val="36"/>
          <w:szCs w:val="36"/>
        </w:rPr>
      </w:pPr>
    </w:p>
    <w:p w14:paraId="1FD7AF30">
      <w:pPr>
        <w:pStyle w:val="2"/>
        <w:spacing w:before="240" w:after="120" w:line="276" w:lineRule="auto"/>
        <w:ind w:firstLine="0"/>
        <w:jc w:val="center"/>
        <w:rPr>
          <w:rFonts w:eastAsia="黑体"/>
          <w:b/>
          <w:bCs/>
          <w:sz w:val="36"/>
          <w:szCs w:val="36"/>
        </w:rPr>
      </w:pPr>
    </w:p>
    <w:p w14:paraId="30687D9C">
      <w:pPr>
        <w:pStyle w:val="2"/>
        <w:spacing w:before="240" w:after="120" w:line="276" w:lineRule="auto"/>
        <w:ind w:firstLine="0"/>
        <w:jc w:val="center"/>
        <w:rPr>
          <w:rFonts w:eastAsia="黑体"/>
          <w:b/>
          <w:bCs/>
          <w:sz w:val="36"/>
          <w:szCs w:val="36"/>
        </w:rPr>
      </w:pPr>
    </w:p>
    <w:p w14:paraId="33A793DA">
      <w:pPr>
        <w:spacing w:before="240" w:after="120" w:line="360" w:lineRule="auto"/>
        <w:rPr>
          <w:rFonts w:eastAsia="黑体"/>
          <w:b/>
          <w:bCs/>
          <w:sz w:val="28"/>
          <w:szCs w:val="28"/>
        </w:rPr>
      </w:pPr>
    </w:p>
    <w:p w14:paraId="3EDFE54B">
      <w:pPr>
        <w:spacing w:before="240" w:after="120" w:line="360" w:lineRule="auto"/>
        <w:jc w:val="center"/>
        <w:rPr>
          <w:rFonts w:eastAsia="黑体"/>
          <w:bCs/>
          <w:szCs w:val="28"/>
        </w:rPr>
        <w:sectPr>
          <w:headerReference r:id="rId3" w:type="default"/>
          <w:pgSz w:w="11906" w:h="16838"/>
          <w:pgMar w:top="1418" w:right="1418" w:bottom="1418" w:left="1418" w:header="708" w:footer="708" w:gutter="0"/>
          <w:cols w:space="720" w:num="1"/>
          <w:docGrid w:linePitch="360" w:charSpace="0"/>
        </w:sectPr>
      </w:pPr>
    </w:p>
    <w:p w14:paraId="2E6C3295">
      <w:pPr>
        <w:spacing w:before="240" w:after="120" w:line="360" w:lineRule="auto"/>
        <w:jc w:val="center"/>
      </w:pPr>
      <w:r>
        <w:rPr>
          <w:rFonts w:eastAsia="黑体"/>
          <w:b/>
          <w:bCs/>
          <w:sz w:val="28"/>
          <w:szCs w:val="28"/>
        </w:rPr>
        <w:t>摘要</w:t>
      </w:r>
    </w:p>
    <w:p w14:paraId="07DD4AC9">
      <w:pPr>
        <w:spacing w:line="360" w:lineRule="auto"/>
        <w:ind w:firstLine="480"/>
      </w:pPr>
      <w:r>
        <w:t>本文面向四旋翼无人机高精度轨迹跟踪与飞行安全保障的仿真验证需求，基于MWORKS Sysplorer 2026a平台与Modelica建模语言，建立分层仿真系统并开展控制算法对照实验。在MoHub标准四旋翼动力学模型基础上，通过replaceable/redeclare语法将横向位置外环的PID模块替换为HybridPIDSlidingMode复合滑模控制器。针对爬升、螺旋爬升和8字航迹三类典型飞行场景，开展基线PID模型与增强模型的对照仿真。本文的主要工作是对增强模型出现的姿态超限现象做定量溯源：六组仿真累计220 s飞行中的全部15°超限采样点，都落在参考轨迹不连续时刻之后0.06~0.08 s的窗口内，其余时段无一超限。进一步的对照实验表明，参考不连续是触发条件而非充分条件——爬升场景中t=20 s与t=40 s的单轴不连续事件，其倾角指令与t=30 s的双轴事件完全等价（均饱和至9.500°、变化率约560°/s、上升时间40 ms），姿态峰值却为11.92°而非17.39°；差异出现在指令进入内环之后，双轴事件下俯仰与横滚两路内环同时饱和，X型混控将作动量集中到一对对角旋翼上（电机指令摆幅比16.64，单轴事件为1.05）。据此本文指出，将倾角指令限幅由15°收紧至9.5°的做法无效，应改为限制指令变化率，并给出由数据分布确定的限速阈值60°/s，以及计入角速率制动裕度的姿态控制障碍函数设计。本文同时更正了初赛版本中三处不成立的结论：安全链模块从未接入控制回路、鲁棒性验证使用的解析式与控制器无关、编队演示不含控制律。三类场景中增强模型的路径RMSE相对基线分别降低17.16%、2.62%和13.47%，平均误差分别降低25.10%、19.22%和25.93%；本报告的全部指标与仿真输出由同一次运行生成。安全链与编队控制律已接入控制回路并在MWORKS上完成重跑：六个接入安全链的模型15°超限累计时长全部为0（6/6），消融实验进一步表明消除超限的是显式参考调节器而非控制障碍函数，限速开启后障碍函数从未触发；但爬升场景的路径RMSE相对增强模型劣化3.74%，超出预注册的3%门槛，该判据未达标，本文按原判据如实记录，逐条结果见6.5节。</w:t>
      </w:r>
    </w:p>
    <w:p w14:paraId="4F8AAD87">
      <w:pPr>
        <w:spacing w:before="120" w:after="120" w:line="360" w:lineRule="auto"/>
        <w:ind w:firstLine="480"/>
      </w:pPr>
      <w:r>
        <w:rPr>
          <w:rFonts w:eastAsia="黑体"/>
          <w:b/>
          <w:bCs/>
        </w:rPr>
        <w:t>关键词：</w:t>
      </w:r>
      <w:r>
        <w:t>四旋翼无人机；复合滑模控制；轨迹跟踪；安全边界；MWORKS Sysplorer；蒙特卡洛鲁棒性</w:t>
      </w:r>
    </w:p>
    <w:p w14:paraId="162FE9D7">
      <w:pPr>
        <w:spacing w:before="240" w:after="120" w:line="360" w:lineRule="auto"/>
        <w:jc w:val="center"/>
        <w:rPr>
          <w:rFonts w:eastAsia="黑体"/>
          <w:b/>
          <w:bCs/>
          <w:sz w:val="28"/>
          <w:szCs w:val="28"/>
        </w:rPr>
      </w:pPr>
    </w:p>
    <w:p w14:paraId="472A8FC2">
      <w:pPr>
        <w:spacing w:before="240" w:after="120" w:line="360" w:lineRule="auto"/>
        <w:jc w:val="center"/>
        <w:rPr>
          <w:rFonts w:eastAsia="黑体"/>
          <w:b/>
          <w:bCs/>
          <w:sz w:val="28"/>
          <w:szCs w:val="28"/>
        </w:rPr>
      </w:pPr>
    </w:p>
    <w:p w14:paraId="46D9D739">
      <w:pPr>
        <w:spacing w:before="240" w:after="120" w:line="360" w:lineRule="auto"/>
        <w:jc w:val="center"/>
        <w:rPr>
          <w:rFonts w:eastAsia="黑体"/>
          <w:b/>
          <w:bCs/>
          <w:sz w:val="28"/>
          <w:szCs w:val="28"/>
        </w:rPr>
      </w:pPr>
    </w:p>
    <w:p w14:paraId="2E228611">
      <w:pPr>
        <w:spacing w:before="240" w:after="120" w:line="360" w:lineRule="auto"/>
        <w:jc w:val="center"/>
        <w:rPr>
          <w:rFonts w:eastAsia="黑体"/>
          <w:b/>
          <w:bCs/>
          <w:sz w:val="28"/>
          <w:szCs w:val="28"/>
        </w:rPr>
      </w:pPr>
    </w:p>
    <w:p w14:paraId="7D7E0447">
      <w:pPr>
        <w:spacing w:before="240" w:after="120" w:line="360" w:lineRule="auto"/>
        <w:jc w:val="center"/>
        <w:rPr>
          <w:rFonts w:eastAsia="黑体"/>
          <w:b/>
          <w:bCs/>
          <w:sz w:val="28"/>
          <w:szCs w:val="28"/>
        </w:rPr>
      </w:pPr>
    </w:p>
    <w:p w14:paraId="66770A48">
      <w:pPr>
        <w:spacing w:before="240" w:after="120" w:line="360" w:lineRule="auto"/>
        <w:jc w:val="center"/>
        <w:rPr>
          <w:rFonts w:eastAsia="黑体"/>
          <w:b/>
          <w:bCs/>
          <w:sz w:val="28"/>
          <w:szCs w:val="28"/>
        </w:rPr>
      </w:pPr>
    </w:p>
    <w:p w14:paraId="7FD25AF9">
      <w:pPr>
        <w:spacing w:before="240" w:after="120" w:line="360" w:lineRule="auto"/>
        <w:jc w:val="center"/>
        <w:rPr>
          <w:rFonts w:eastAsia="黑体"/>
          <w:b/>
          <w:bCs/>
          <w:sz w:val="28"/>
          <w:szCs w:val="28"/>
        </w:rPr>
      </w:pPr>
    </w:p>
    <w:p w14:paraId="43F8F519">
      <w:pPr>
        <w:spacing w:before="240" w:after="120" w:line="360" w:lineRule="auto"/>
        <w:jc w:val="center"/>
      </w:pPr>
      <w:r>
        <w:rPr>
          <w:rFonts w:eastAsia="黑体"/>
          <w:b/>
          <w:bCs/>
          <w:sz w:val="28"/>
          <w:szCs w:val="28"/>
        </w:rPr>
        <w:t>Abstract</w:t>
      </w:r>
    </w:p>
    <w:p w14:paraId="40DF96A0">
      <w:pPr>
        <w:spacing w:line="360" w:lineRule="auto"/>
        <w:ind w:firstLine="480"/>
      </w:pPr>
      <w:r>
        <w:t>This paper addresses simulation-based validation of trajectory tracking and flight safety for quadrotor UAVs on the MWORKS Sysplorer 2026a platform with the Modelica language. Building on the MoHub standard quadrotor model, the lateral outer-loop PID module is replaced by a HybridPIDSlidingMode composite sliding-mode controller via replaceable/redeclare. Comparative simulations between the baseline and enhanced models are conducted for three flight scenarios: climb, spiral climb, and figure-eight. The main contribution is a quantitative root-cause analysis of the attitude-limit violations exhibited by the enhanced model. Across six runs totalling 220 s of flight, every 15-degree violation sample falls within 0.06 to 0.08 s after a discontinuity in the reference trajectory, with no violation elsewhere. A controlled comparison shows that reference discontinuity is a necessary but not sufficient condition: in the climb scenario the single-axis events at t=20 s and t=40 s produce tilt commands identical to the two-axis event at t=30 s (all saturating at 9.500 degrees, rate about 560 deg/s, rise time 40 ms), yet peak attitude reaches only 11.92 degrees instead of 17.39 degrees. The difference arises after the command enters the inner loop: under simultaneous two-axis demand both pitch and roll inner channels saturate, and the X-configuration mixing concentrates actuation onto one diagonal rotor pair (motor command swing ratio 16.64 versus 1.05 for single-axis events). Accordingly, tightening the tilt command limit from 15 to 9.5 degrees is shown to be ineffective; the command rate should be limited instead, with a threshold of 60 deg/s determined from the measured rate distribution, together with an attitude control barrier function incorporating an angular-rate braking margin. Three claims from the preliminary-round submission are corrected: the safety-chain modules were never connected into the control loop, the robustness evaluation used an analytical expression independent of the controller, and the formation demonstration contained no control law. Across the three scenarios the enhanced model reduces path RMSE by 17.16%, 2.62% and 13.47%, and mean tracking error by 25.10%, 19.22% and 25.93%, relative to the baseline; all reported metrics and the simulation outputs are produced by the same run. The safety chain and the formation control law are now connected into the control loop and have been re-simulated in MWORKS: the cumulative 15-degree violation time is zero in all six safety-chain models (6 of 6), and an ablation shows that the explicit reference governor, not the control barrier function, is what removes the violations, the barrier function never being triggered once rate limiting is active. The climb scenario, however, fails the pre-registered accuracy criterion: its path RMSE degrades by 3.74% with respect to the enhanced model, exceeding the 3% threshold. This shortfall is reported as it stands, together with the per-item verification results, in Section 6.5.</w:t>
      </w:r>
    </w:p>
    <w:p w14:paraId="5CA24A18">
      <w:pPr>
        <w:jc w:val="left"/>
      </w:pPr>
      <w:r>
        <w:rPr>
          <w:rFonts w:eastAsia="黑体"/>
          <w:b/>
          <w:bCs/>
        </w:rPr>
        <w:t xml:space="preserve">Keywords: </w:t>
      </w:r>
      <w:r>
        <w:t>Quadrotor UAV; Composite sliding mode control; Trajectory tracking; Safety boundary; MWORKS Sysplorer; Monte Carlo robustness</w:t>
      </w:r>
    </w:p>
    <w:p w14:paraId="59016FFB">
      <w:pPr>
        <w:jc w:val="center"/>
        <w:rPr>
          <w:rFonts w:hint="eastAsia" w:ascii="宋体" w:hAnsi="宋体"/>
          <w:sz w:val="21"/>
        </w:rPr>
      </w:pPr>
    </w:p>
    <w:p w14:paraId="2731D44A">
      <w:pPr>
        <w:jc w:val="center"/>
        <w:rPr>
          <w:rFonts w:hint="eastAsia" w:ascii="宋体" w:hAnsi="宋体"/>
          <w:sz w:val="21"/>
        </w:rPr>
      </w:pPr>
    </w:p>
    <w:p w14:paraId="3DA9E822">
      <w:pPr>
        <w:jc w:val="center"/>
        <w:rPr>
          <w:rFonts w:hint="eastAsia" w:ascii="宋体" w:hAnsi="宋体"/>
          <w:sz w:val="21"/>
        </w:rPr>
      </w:pPr>
    </w:p>
    <w:p w14:paraId="3A3B449B">
      <w:pPr>
        <w:jc w:val="center"/>
        <w:rPr>
          <w:rFonts w:hint="eastAsia" w:ascii="宋体" w:hAnsi="宋体"/>
          <w:sz w:val="21"/>
        </w:rPr>
      </w:pPr>
    </w:p>
    <w:p w14:paraId="0EC3C980">
      <w:pPr>
        <w:jc w:val="center"/>
        <w:rPr>
          <w:rFonts w:hint="eastAsia" w:ascii="宋体" w:hAnsi="宋体"/>
          <w:sz w:val="21"/>
        </w:rPr>
      </w:pPr>
    </w:p>
    <w:p w14:paraId="0815E927">
      <w:pPr>
        <w:jc w:val="center"/>
        <w:rPr>
          <w:rFonts w:hint="eastAsia" w:ascii="宋体" w:hAnsi="宋体"/>
          <w:sz w:val="21"/>
        </w:rPr>
      </w:pPr>
    </w:p>
    <w:p w14:paraId="4B9E32BE">
      <w:pPr>
        <w:jc w:val="center"/>
        <w:rPr>
          <w:rFonts w:hint="eastAsia" w:ascii="宋体" w:hAnsi="宋体"/>
          <w:sz w:val="21"/>
        </w:rPr>
      </w:pPr>
    </w:p>
    <w:p w14:paraId="0F0D77FF">
      <w:pPr>
        <w:jc w:val="center"/>
        <w:rPr>
          <w:rFonts w:hint="eastAsia" w:ascii="宋体" w:hAnsi="宋体"/>
          <w:sz w:val="21"/>
        </w:rPr>
      </w:pPr>
    </w:p>
    <w:p w14:paraId="12C1245E">
      <w:pPr>
        <w:jc w:val="center"/>
        <w:rPr>
          <w:rFonts w:hint="eastAsia" w:ascii="宋体" w:hAnsi="宋体"/>
          <w:sz w:val="21"/>
        </w:rPr>
      </w:pPr>
    </w:p>
    <w:p w14:paraId="169CDC81">
      <w:pPr>
        <w:jc w:val="center"/>
        <w:rPr>
          <w:rFonts w:hint="eastAsia" w:ascii="宋体" w:hAnsi="宋体"/>
          <w:sz w:val="21"/>
        </w:rPr>
      </w:pPr>
    </w:p>
    <w:p w14:paraId="1AC3F6BD">
      <w:pPr>
        <w:jc w:val="center"/>
        <w:rPr>
          <w:rFonts w:hint="eastAsia" w:ascii="宋体" w:hAnsi="宋体"/>
          <w:sz w:val="21"/>
        </w:rPr>
      </w:pPr>
    </w:p>
    <w:p w14:paraId="6ADD7B23">
      <w:pPr>
        <w:jc w:val="center"/>
        <w:rPr>
          <w:rFonts w:hint="eastAsia" w:ascii="宋体" w:hAnsi="宋体"/>
          <w:sz w:val="21"/>
        </w:rPr>
      </w:pPr>
    </w:p>
    <w:p w14:paraId="4DC9DCAF">
      <w:pPr>
        <w:jc w:val="center"/>
        <w:rPr>
          <w:rFonts w:hint="eastAsia" w:ascii="宋体" w:hAnsi="宋体"/>
          <w:sz w:val="21"/>
        </w:rPr>
      </w:pPr>
    </w:p>
    <w:p w14:paraId="5423FFDD">
      <w:pPr>
        <w:jc w:val="center"/>
        <w:rPr>
          <w:rFonts w:hint="eastAsia" w:ascii="宋体" w:hAnsi="宋体"/>
          <w:sz w:val="21"/>
        </w:rPr>
      </w:pPr>
    </w:p>
    <w:p w14:paraId="041B9668">
      <w:pPr>
        <w:jc w:val="center"/>
        <w:rPr>
          <w:rFonts w:hint="eastAsia" w:ascii="宋体" w:hAnsi="宋体"/>
          <w:sz w:val="21"/>
        </w:rPr>
      </w:pPr>
    </w:p>
    <w:p w14:paraId="3165D472">
      <w:pPr>
        <w:jc w:val="center"/>
        <w:rPr>
          <w:rFonts w:hint="eastAsia" w:asciiTheme="majorEastAsia" w:hAnsiTheme="majorEastAsia" w:eastAsiaTheme="majorEastAsia" w:cstheme="majorEastAsia"/>
          <w:sz w:val="44"/>
          <w:szCs w:val="44"/>
        </w:rPr>
        <w:sectPr>
          <w:footerReference r:id="rId4" w:type="default"/>
          <w:pgSz w:w="11906" w:h="16838"/>
          <w:pgMar w:top="1418" w:right="1418" w:bottom="1418" w:left="1418" w:header="708" w:footer="708" w:gutter="0"/>
          <w:pgNumType w:start="1"/>
          <w:cols w:space="720" w:num="1"/>
          <w:docGrid w:linePitch="360" w:charSpace="0"/>
        </w:sectPr>
      </w:pPr>
    </w:p>
    <w:sdt>
      <w:sdtPr>
        <w:rPr>
          <w:rFonts w:hint="eastAsia" w:asciiTheme="majorEastAsia" w:hAnsiTheme="majorEastAsia" w:eastAsiaTheme="majorEastAsia" w:cstheme="majorEastAsia"/>
          <w:sz w:val="44"/>
          <w:szCs w:val="44"/>
        </w:rPr>
        <w:id w:val="147483116"/>
        <w15:color w:val="DBDBDB"/>
        <w:docPartObj>
          <w:docPartGallery w:val="Table of Contents"/>
          <w:docPartUnique/>
        </w:docPartObj>
      </w:sdtPr>
      <w:sdtEndPr>
        <w:rPr>
          <w:rFonts w:hint="eastAsia" w:asciiTheme="majorEastAsia" w:hAnsiTheme="majorEastAsia" w:eastAsiaTheme="majorEastAsia" w:cstheme="majorEastAsia"/>
          <w:bCs/>
          <w:sz w:val="32"/>
          <w:szCs w:val="32"/>
        </w:rPr>
      </w:sdtEndPr>
      <w:sdtContent>
        <w:p w14:paraId="2A93E9E4">
          <w:pPr>
            <w:jc w:val="center"/>
            <w:rPr>
              <w:rFonts w:hint="eastAsia" w:asciiTheme="majorEastAsia" w:hAnsiTheme="majorEastAsia" w:eastAsiaTheme="majorEastAsia" w:cstheme="majorEastAsia"/>
              <w:sz w:val="44"/>
              <w:szCs w:val="44"/>
            </w:rPr>
          </w:pPr>
        </w:p>
        <w:p w14:paraId="68B2D393">
          <w:pPr>
            <w:jc w:val="center"/>
            <w:rPr>
              <w:rFonts w:hint="eastAsia" w:asciiTheme="majorEastAsia" w:hAnsiTheme="majorEastAsia" w:eastAsiaTheme="majorEastAsia" w:cstheme="majorEastAsia"/>
              <w:b/>
              <w:bCs/>
              <w:sz w:val="32"/>
              <w:szCs w:val="32"/>
            </w:rPr>
          </w:pPr>
          <w:r>
            <w:rPr>
              <w:rFonts w:hint="eastAsia" w:asciiTheme="majorEastAsia" w:hAnsiTheme="majorEastAsia" w:eastAsiaTheme="majorEastAsia" w:cstheme="majorEastAsia"/>
              <w:b/>
              <w:bCs/>
              <w:sz w:val="44"/>
              <w:szCs w:val="44"/>
            </w:rPr>
            <w:t>目录</w:t>
          </w:r>
        </w:p>
        <w:p w14:paraId="2F6B9A86">
          <w:pPr>
            <w:jc w:val="center"/>
            <w:rPr>
              <w:rFonts w:hint="eastAsia" w:asciiTheme="majorEastAsia" w:hAnsiTheme="majorEastAsia" w:eastAsiaTheme="majorEastAsia" w:cstheme="majorEastAsia"/>
              <w:b/>
              <w:bCs/>
              <w:sz w:val="20"/>
              <w:szCs w:val="20"/>
            </w:rPr>
          </w:pPr>
        </w:p>
        <w:p w14:paraId="4E13E4A4">
          <w:pPr>
            <w:pStyle w:val="13"/>
            <w:tabs>
              <w:tab w:val="right" w:leader="dot" w:pos="9070"/>
            </w:tabs>
            <w:ind w:left="480"/>
            <w:rPr>
              <w:sz w:val="32"/>
              <w:szCs w:val="32"/>
            </w:rPr>
          </w:pPr>
          <w:r>
            <w:rPr>
              <w:rFonts w:hint="eastAsia" w:asciiTheme="majorEastAsia" w:hAnsiTheme="majorEastAsia" w:eastAsiaTheme="majorEastAsia" w:cstheme="majorEastAsia"/>
              <w:b/>
              <w:bCs/>
              <w:sz w:val="32"/>
              <w:szCs w:val="32"/>
            </w:rPr>
            <w:fldChar w:fldCharType="begin"/>
            <w:instrText xml:space="preserve">TOC \o "1-3" \h \u </w:instrText>
            <w:fldChar w:fldCharType="separate"/>
          </w:r>
          <w:r>
            <w:fldChar w:fldCharType="begin"/>
            <w:instrText xml:space="preserve"> HYPERLINK \l "_Toc27386" </w:instrText>
            <w:fldChar w:fldCharType="separate"/>
          </w:r>
          <w:r>
            <w:rPr>
              <w:rFonts w:hint="eastAsia" w:asciiTheme="majorEastAsia" w:hAnsiTheme="majorEastAsia" w:eastAsiaTheme="majorEastAsia" w:cstheme="majorEastAsia"/>
              <w:b/>
              <w:sz w:val="32"/>
              <w:szCs w:val="32"/>
            </w:rPr>
            <w:t>1.作品概述</w:t>
          </w:r>
          <w:r>
            <w:rPr>
              <w:b/>
              <w:sz w:val="32"/>
              <w:szCs w:val="32"/>
            </w:rPr>
            <w:tab/>
            <w:fldChar w:fldCharType="begin"/>
            <w:instrText xml:space="preserve"> PAGEREF _Toc27386 \h </w:instrText>
            <w:fldChar w:fldCharType="separate"/>
            <w:t>1</w:t>
            <w:fldChar w:fldCharType="end"/>
            <w:fldChar w:fldCharType="end"/>
          </w:r>
        </w:p>
        <w:p w14:paraId="6C3738DF">
          <w:pPr>
            <w:pStyle w:val="8"/>
            <w:tabs>
              <w:tab w:val="right" w:leader="dot" w:pos="9070"/>
            </w:tabs>
            <w:ind w:left="960"/>
            <w:rPr>
              <w:sz w:val="32"/>
              <w:szCs w:val="32"/>
            </w:rPr>
          </w:pPr>
          <w:r>
            <w:fldChar w:fldCharType="begin"/>
            <w:instrText xml:space="preserve"> HYPERLINK \l "_Toc1158" </w:instrText>
            <w:fldChar w:fldCharType="separate"/>
          </w:r>
          <w:r>
            <w:rPr>
              <w:rFonts w:hint="eastAsia" w:asciiTheme="majorEastAsia" w:hAnsiTheme="majorEastAsia" w:eastAsiaTheme="majorEastAsia" w:cstheme="majorEastAsia"/>
              <w:bCs/>
              <w:sz w:val="32"/>
              <w:szCs w:val="32"/>
            </w:rPr>
            <w:t>1.1基本信息</w:t>
          </w:r>
          <w:r>
            <w:rPr>
              <w:sz w:val="32"/>
              <w:szCs w:val="32"/>
            </w:rPr>
            <w:tab/>
            <w:fldChar w:fldCharType="begin"/>
            <w:instrText xml:space="preserve"> PAGEREF _Toc1158 \h </w:instrText>
            <w:fldChar w:fldCharType="separate"/>
            <w:t>1</w:t>
            <w:fldChar w:fldCharType="end"/>
            <w:fldChar w:fldCharType="end"/>
          </w:r>
        </w:p>
        <w:p w14:paraId="1D8DC64A">
          <w:pPr>
            <w:pStyle w:val="8"/>
            <w:tabs>
              <w:tab w:val="right" w:leader="dot" w:pos="9070"/>
            </w:tabs>
            <w:ind w:left="960"/>
            <w:rPr>
              <w:sz w:val="32"/>
              <w:szCs w:val="32"/>
            </w:rPr>
          </w:pPr>
          <w:r>
            <w:fldChar w:fldCharType="begin"/>
            <w:instrText xml:space="preserve"> HYPERLINK \l "_Toc28373" </w:instrText>
            <w:fldChar w:fldCharType="separate"/>
          </w:r>
          <w:r>
            <w:rPr>
              <w:rFonts w:hint="eastAsia" w:asciiTheme="majorEastAsia" w:hAnsiTheme="majorEastAsia" w:eastAsiaTheme="majorEastAsia" w:cstheme="majorEastAsia"/>
              <w:bCs/>
              <w:sz w:val="32"/>
              <w:szCs w:val="32"/>
            </w:rPr>
            <w:t>1.2 概述</w:t>
          </w:r>
          <w:r>
            <w:rPr>
              <w:sz w:val="32"/>
              <w:szCs w:val="32"/>
            </w:rPr>
            <w:tab/>
            <w:fldChar w:fldCharType="begin"/>
            <w:instrText xml:space="preserve"> PAGEREF _Toc28373 \h </w:instrText>
            <w:fldChar w:fldCharType="separate"/>
            <w:t>1</w:t>
            <w:fldChar w:fldCharType="end"/>
            <w:fldChar w:fldCharType="end"/>
          </w:r>
        </w:p>
        <w:p w14:paraId="62FCC159">
          <w:pPr>
            <w:pStyle w:val="13"/>
            <w:tabs>
              <w:tab w:val="right" w:leader="dot" w:pos="9070"/>
            </w:tabs>
            <w:ind w:left="480"/>
            <w:rPr>
              <w:b/>
              <w:sz w:val="32"/>
              <w:szCs w:val="32"/>
            </w:rPr>
          </w:pPr>
          <w:r>
            <w:fldChar w:fldCharType="begin"/>
            <w:instrText xml:space="preserve"> HYPERLINK \l "_Toc15936" </w:instrText>
            <w:fldChar w:fldCharType="separate"/>
          </w:r>
          <w:r>
            <w:rPr>
              <w:rFonts w:hint="eastAsia" w:asciiTheme="majorEastAsia" w:hAnsiTheme="majorEastAsia" w:eastAsiaTheme="majorEastAsia" w:cstheme="majorEastAsia"/>
              <w:b/>
              <w:sz w:val="32"/>
              <w:szCs w:val="32"/>
            </w:rPr>
            <w:t>2.引言</w:t>
          </w:r>
          <w:r>
            <w:rPr>
              <w:b/>
              <w:sz w:val="32"/>
              <w:szCs w:val="32"/>
            </w:rPr>
            <w:tab/>
            <w:fldChar w:fldCharType="begin"/>
            <w:instrText xml:space="preserve"> PAGEREF _Toc15936 \h </w:instrText>
            <w:fldChar w:fldCharType="separate"/>
            <w:t>2</w:t>
            <w:fldChar w:fldCharType="end"/>
            <w:fldChar w:fldCharType="end"/>
          </w:r>
        </w:p>
        <w:p w14:paraId="15926394">
          <w:pPr>
            <w:pStyle w:val="13"/>
            <w:tabs>
              <w:tab w:val="right" w:leader="dot" w:pos="9070"/>
            </w:tabs>
            <w:ind w:left="480"/>
            <w:rPr>
              <w:sz w:val="32"/>
              <w:szCs w:val="32"/>
            </w:rPr>
          </w:pPr>
          <w:r>
            <w:fldChar w:fldCharType="begin"/>
            <w:instrText xml:space="preserve"> HYPERLINK \l "_Toc19306" </w:instrText>
            <w:fldChar w:fldCharType="separate"/>
          </w:r>
          <w:r>
            <w:rPr>
              <w:rFonts w:hint="eastAsia" w:asciiTheme="majorEastAsia" w:hAnsiTheme="majorEastAsia" w:eastAsiaTheme="majorEastAsia" w:cstheme="majorEastAsia"/>
              <w:b/>
              <w:sz w:val="32"/>
              <w:szCs w:val="32"/>
            </w:rPr>
            <w:t>3.技术路线与系统设计</w:t>
          </w:r>
          <w:r>
            <w:rPr>
              <w:b/>
              <w:sz w:val="32"/>
              <w:szCs w:val="32"/>
            </w:rPr>
            <w:tab/>
            <w:fldChar w:fldCharType="begin"/>
            <w:instrText xml:space="preserve"> PAGEREF _Toc19306 \h </w:instrText>
            <w:fldChar w:fldCharType="separate"/>
            <w:t>3</w:t>
            <w:fldChar w:fldCharType="end"/>
            <w:fldChar w:fldCharType="end"/>
          </w:r>
        </w:p>
        <w:p w14:paraId="2C02DBFD">
          <w:pPr>
            <w:pStyle w:val="8"/>
            <w:tabs>
              <w:tab w:val="right" w:leader="dot" w:pos="9070"/>
            </w:tabs>
            <w:ind w:left="960"/>
            <w:rPr>
              <w:sz w:val="32"/>
              <w:szCs w:val="32"/>
            </w:rPr>
          </w:pPr>
          <w:r>
            <w:fldChar w:fldCharType="begin"/>
            <w:instrText xml:space="preserve"> HYPERLINK \l "_Toc32346" </w:instrText>
            <w:fldChar w:fldCharType="separate"/>
          </w:r>
          <w:r>
            <w:rPr>
              <w:rFonts w:hint="eastAsia" w:asciiTheme="majorEastAsia" w:hAnsiTheme="majorEastAsia" w:eastAsiaTheme="majorEastAsia" w:cstheme="majorEastAsia"/>
              <w:bCs/>
              <w:sz w:val="32"/>
              <w:szCs w:val="32"/>
            </w:rPr>
            <w:t>3.1 五层架构总体框架</w:t>
          </w:r>
          <w:r>
            <w:rPr>
              <w:sz w:val="32"/>
              <w:szCs w:val="32"/>
            </w:rPr>
            <w:tab/>
            <w:fldChar w:fldCharType="begin"/>
            <w:instrText xml:space="preserve"> PAGEREF _Toc32346 \h </w:instrText>
            <w:fldChar w:fldCharType="separate"/>
            <w:t>3</w:t>
            <w:fldChar w:fldCharType="end"/>
            <w:fldChar w:fldCharType="end"/>
          </w:r>
        </w:p>
        <w:p w14:paraId="04BE4DBC">
          <w:pPr>
            <w:pStyle w:val="8"/>
            <w:tabs>
              <w:tab w:val="right" w:leader="dot" w:pos="9070"/>
            </w:tabs>
            <w:ind w:left="960"/>
            <w:rPr>
              <w:sz w:val="32"/>
              <w:szCs w:val="32"/>
            </w:rPr>
          </w:pPr>
          <w:r>
            <w:fldChar w:fldCharType="begin"/>
            <w:instrText xml:space="preserve"> HYPERLINK \l "_Toc12337" </w:instrText>
            <w:fldChar w:fldCharType="separate"/>
          </w:r>
          <w:r>
            <w:rPr>
              <w:rFonts w:hint="eastAsia" w:asciiTheme="majorEastAsia" w:hAnsiTheme="majorEastAsia" w:eastAsiaTheme="majorEastAsia" w:cstheme="majorEastAsia"/>
              <w:bCs/>
              <w:sz w:val="32"/>
              <w:szCs w:val="32"/>
            </w:rPr>
            <w:t>3.2 基础模型复用</w:t>
          </w:r>
          <w:r>
            <w:rPr>
              <w:sz w:val="32"/>
              <w:szCs w:val="32"/>
            </w:rPr>
            <w:tab/>
            <w:fldChar w:fldCharType="begin"/>
            <w:instrText xml:space="preserve"> PAGEREF _Toc12337 \h </w:instrText>
            <w:fldChar w:fldCharType="separate"/>
            <w:t>3</w:t>
            <w:fldChar w:fldCharType="end"/>
            <w:fldChar w:fldCharType="end"/>
          </w:r>
        </w:p>
        <w:p w14:paraId="13B8CA17">
          <w:pPr>
            <w:pStyle w:val="8"/>
            <w:tabs>
              <w:tab w:val="right" w:leader="dot" w:pos="9070"/>
            </w:tabs>
            <w:ind w:left="960"/>
            <w:rPr>
              <w:sz w:val="32"/>
              <w:szCs w:val="32"/>
            </w:rPr>
          </w:pPr>
          <w:r>
            <w:fldChar w:fldCharType="begin"/>
            <w:instrText xml:space="preserve"> HYPERLINK \l "_Toc27880" </w:instrText>
            <w:fldChar w:fldCharType="separate"/>
          </w:r>
          <w:r>
            <w:rPr>
              <w:rFonts w:hint="eastAsia" w:asciiTheme="majorEastAsia" w:hAnsiTheme="majorEastAsia" w:eastAsiaTheme="majorEastAsia" w:cstheme="majorEastAsia"/>
              <w:bCs/>
              <w:sz w:val="32"/>
              <w:szCs w:val="32"/>
            </w:rPr>
            <w:t>3.3 控制算法设计</w:t>
          </w:r>
          <w:r>
            <w:rPr>
              <w:sz w:val="32"/>
              <w:szCs w:val="32"/>
            </w:rPr>
            <w:tab/>
            <w:fldChar w:fldCharType="begin"/>
            <w:instrText xml:space="preserve"> PAGEREF _Toc27880 \h </w:instrText>
            <w:fldChar w:fldCharType="separate"/>
            <w:t>4</w:t>
            <w:fldChar w:fldCharType="end"/>
            <w:fldChar w:fldCharType="end"/>
          </w:r>
        </w:p>
        <w:p w14:paraId="332D8EF3">
          <w:pPr>
            <w:pStyle w:val="8"/>
            <w:tabs>
              <w:tab w:val="right" w:leader="dot" w:pos="9070"/>
            </w:tabs>
            <w:ind w:left="960"/>
            <w:rPr>
              <w:sz w:val="32"/>
              <w:szCs w:val="32"/>
            </w:rPr>
          </w:pPr>
          <w:r>
            <w:fldChar w:fldCharType="begin"/>
            <w:instrText xml:space="preserve"> HYPERLINK \l "_Toc27007" </w:instrText>
            <w:fldChar w:fldCharType="separate"/>
          </w:r>
          <w:r>
            <w:rPr>
              <w:rFonts w:hint="eastAsia" w:asciiTheme="majorEastAsia" w:hAnsiTheme="majorEastAsia" w:eastAsiaTheme="majorEastAsia" w:cstheme="majorEastAsia"/>
              <w:bCs/>
              <w:sz w:val="32"/>
              <w:szCs w:val="32"/>
            </w:rPr>
            <w:t>3.4 CBF/PPC/ERG安全链设计</w:t>
          </w:r>
          <w:r>
            <w:rPr>
              <w:sz w:val="32"/>
              <w:szCs w:val="32"/>
            </w:rPr>
            <w:tab/>
            <w:fldChar w:fldCharType="begin"/>
            <w:instrText xml:space="preserve"> PAGEREF _Toc27007 \h </w:instrText>
            <w:fldChar w:fldCharType="separate"/>
            <w:t>5</w:t>
            <w:fldChar w:fldCharType="end"/>
            <w:fldChar w:fldCharType="end"/>
          </w:r>
        </w:p>
        <w:p w14:paraId="75D1DBC3">
          <w:pPr>
            <w:pStyle w:val="8"/>
            <w:tabs>
              <w:tab w:val="right" w:leader="dot" w:pos="9070"/>
            </w:tabs>
            <w:ind w:left="960"/>
            <w:rPr>
              <w:sz w:val="32"/>
              <w:szCs w:val="32"/>
            </w:rPr>
          </w:pPr>
          <w:r>
            <w:fldChar w:fldCharType="begin"/>
            <w:instrText xml:space="preserve"> HYPERLINK \l "_Toc7986" </w:instrText>
            <w:fldChar w:fldCharType="separate"/>
          </w:r>
          <w:r>
            <w:rPr>
              <w:rFonts w:hint="eastAsia" w:asciiTheme="majorEastAsia" w:hAnsiTheme="majorEastAsia" w:eastAsiaTheme="majorEastAsia" w:cstheme="majorEastAsia"/>
              <w:bCs/>
              <w:sz w:val="32"/>
              <w:szCs w:val="32"/>
            </w:rPr>
            <w:t>3.5 仿真参数配置</w:t>
          </w:r>
          <w:r>
            <w:rPr>
              <w:sz w:val="32"/>
              <w:szCs w:val="32"/>
            </w:rPr>
            <w:tab/>
            <w:fldChar w:fldCharType="begin"/>
            <w:instrText xml:space="preserve"> PAGEREF _Toc7986 \h </w:instrText>
            <w:fldChar w:fldCharType="separate"/>
            <w:t>5</w:t>
            <w:fldChar w:fldCharType="end"/>
            <w:fldChar w:fldCharType="end"/>
          </w:r>
        </w:p>
        <w:p w14:paraId="0EE8BFBA">
          <w:pPr>
            <w:pStyle w:val="8"/>
            <w:tabs>
              <w:tab w:val="right" w:leader="dot" w:pos="9070"/>
            </w:tabs>
            <w:ind w:left="960"/>
            <w:rPr>
              <w:sz w:val="32"/>
              <w:szCs w:val="32"/>
            </w:rPr>
          </w:pPr>
          <w:r>
            <w:fldChar w:fldCharType="begin"/>
            <w:instrText xml:space="preserve"> HYPERLINK \l "_Toc28832" </w:instrText>
            <w:fldChar w:fldCharType="separate"/>
          </w:r>
          <w:r>
            <w:rPr>
              <w:rFonts w:hint="eastAsia" w:asciiTheme="majorEastAsia" w:hAnsiTheme="majorEastAsia" w:eastAsiaTheme="majorEastAsia" w:cstheme="majorEastAsia"/>
              <w:bCs/>
              <w:sz w:val="32"/>
              <w:szCs w:val="32"/>
            </w:rPr>
            <w:t>3.6 仿真验证口径说明</w:t>
          </w:r>
          <w:r>
            <w:rPr>
              <w:sz w:val="32"/>
              <w:szCs w:val="32"/>
            </w:rPr>
            <w:tab/>
            <w:fldChar w:fldCharType="begin"/>
            <w:instrText xml:space="preserve"> PAGEREF _Toc28832 \h </w:instrText>
            <w:fldChar w:fldCharType="separate"/>
            <w:t>6</w:t>
            <w:fldChar w:fldCharType="end"/>
            <w:fldChar w:fldCharType="end"/>
          </w:r>
        </w:p>
        <w:p w14:paraId="12100E07">
          <w:pPr>
            <w:pStyle w:val="13"/>
            <w:tabs>
              <w:tab w:val="right" w:leader="dot" w:pos="9070"/>
            </w:tabs>
            <w:ind w:left="480"/>
            <w:rPr>
              <w:sz w:val="32"/>
              <w:szCs w:val="32"/>
            </w:rPr>
          </w:pPr>
          <w:r>
            <w:fldChar w:fldCharType="begin"/>
            <w:instrText xml:space="preserve"> HYPERLINK \l "_Toc1523" </w:instrText>
            <w:fldChar w:fldCharType="separate"/>
          </w:r>
          <w:r>
            <w:rPr>
              <w:rFonts w:hint="eastAsia" w:asciiTheme="majorEastAsia" w:hAnsiTheme="majorEastAsia" w:eastAsiaTheme="majorEastAsia" w:cstheme="majorEastAsia"/>
              <w:b/>
              <w:sz w:val="32"/>
              <w:szCs w:val="32"/>
            </w:rPr>
            <w:t>4. 仿真分析</w:t>
          </w:r>
          <w:r>
            <w:rPr>
              <w:b/>
              <w:sz w:val="32"/>
              <w:szCs w:val="32"/>
            </w:rPr>
            <w:tab/>
            <w:fldChar w:fldCharType="begin"/>
            <w:instrText xml:space="preserve"> PAGEREF _Toc1523 \h </w:instrText>
            <w:fldChar w:fldCharType="separate"/>
            <w:t>6</w:t>
            <w:fldChar w:fldCharType="end"/>
            <w:fldChar w:fldCharType="end"/>
          </w:r>
        </w:p>
        <w:p w14:paraId="0CF6D2A6">
          <w:pPr>
            <w:pStyle w:val="8"/>
            <w:tabs>
              <w:tab w:val="right" w:leader="dot" w:pos="9070"/>
            </w:tabs>
            <w:ind w:left="960"/>
            <w:rPr>
              <w:sz w:val="32"/>
              <w:szCs w:val="32"/>
            </w:rPr>
          </w:pPr>
          <w:r>
            <w:fldChar w:fldCharType="begin"/>
            <w:instrText xml:space="preserve"> HYPERLINK \l "_Toc17812" </w:instrText>
            <w:fldChar w:fldCharType="separate"/>
          </w:r>
          <w:r>
            <w:rPr>
              <w:rFonts w:hint="eastAsia" w:asciiTheme="majorEastAsia" w:hAnsiTheme="majorEastAsia" w:eastAsiaTheme="majorEastAsia" w:cstheme="majorEastAsia"/>
              <w:bCs/>
              <w:sz w:val="32"/>
              <w:szCs w:val="32"/>
            </w:rPr>
            <w:t>4.1 爬升场景性能分析</w:t>
          </w:r>
          <w:r>
            <w:rPr>
              <w:sz w:val="32"/>
              <w:szCs w:val="32"/>
            </w:rPr>
            <w:tab/>
            <w:fldChar w:fldCharType="begin"/>
            <w:instrText xml:space="preserve"> PAGEREF _Toc17812 \h </w:instrText>
            <w:fldChar w:fldCharType="separate"/>
            <w:t>6</w:t>
            <w:fldChar w:fldCharType="end"/>
            <w:fldChar w:fldCharType="end"/>
          </w:r>
        </w:p>
        <w:p w14:paraId="73FBF54E">
          <w:pPr>
            <w:pStyle w:val="8"/>
            <w:tabs>
              <w:tab w:val="right" w:leader="dot" w:pos="9070"/>
            </w:tabs>
            <w:ind w:left="960"/>
            <w:rPr>
              <w:sz w:val="32"/>
              <w:szCs w:val="32"/>
            </w:rPr>
          </w:pPr>
          <w:r>
            <w:fldChar w:fldCharType="begin"/>
            <w:instrText xml:space="preserve"> HYPERLINK \l "_Toc29329" </w:instrText>
            <w:fldChar w:fldCharType="separate"/>
          </w:r>
          <w:r>
            <w:rPr>
              <w:rFonts w:hint="eastAsia" w:asciiTheme="majorEastAsia" w:hAnsiTheme="majorEastAsia" w:eastAsiaTheme="majorEastAsia" w:cstheme="majorEastAsia"/>
              <w:bCs/>
              <w:sz w:val="32"/>
              <w:szCs w:val="32"/>
            </w:rPr>
            <w:t>4.2 螺旋爬升场景性能分析</w:t>
          </w:r>
          <w:r>
            <w:rPr>
              <w:sz w:val="32"/>
              <w:szCs w:val="32"/>
            </w:rPr>
            <w:tab/>
            <w:fldChar w:fldCharType="begin"/>
            <w:instrText xml:space="preserve"> PAGEREF _Toc29329 \h </w:instrText>
            <w:fldChar w:fldCharType="separate"/>
            <w:t>7</w:t>
            <w:fldChar w:fldCharType="end"/>
            <w:fldChar w:fldCharType="end"/>
          </w:r>
        </w:p>
        <w:p w14:paraId="23FEAAB9">
          <w:pPr>
            <w:pStyle w:val="8"/>
            <w:tabs>
              <w:tab w:val="right" w:leader="dot" w:pos="9070"/>
            </w:tabs>
            <w:ind w:left="960"/>
            <w:rPr>
              <w:sz w:val="32"/>
              <w:szCs w:val="32"/>
            </w:rPr>
          </w:pPr>
          <w:r>
            <w:fldChar w:fldCharType="begin"/>
            <w:instrText xml:space="preserve"> HYPERLINK \l "_Toc10219" </w:instrText>
            <w:fldChar w:fldCharType="separate"/>
          </w:r>
          <w:r>
            <w:rPr>
              <w:rFonts w:hint="eastAsia" w:asciiTheme="majorEastAsia" w:hAnsiTheme="majorEastAsia" w:eastAsiaTheme="majorEastAsia" w:cstheme="majorEastAsia"/>
              <w:bCs/>
              <w:sz w:val="32"/>
              <w:szCs w:val="32"/>
            </w:rPr>
            <w:t>4.3 8字航迹场景性能分析</w:t>
          </w:r>
          <w:r>
            <w:rPr>
              <w:sz w:val="32"/>
              <w:szCs w:val="32"/>
            </w:rPr>
            <w:tab/>
            <w:fldChar w:fldCharType="begin"/>
            <w:instrText xml:space="preserve"> PAGEREF _Toc10219 \h </w:instrText>
            <w:fldChar w:fldCharType="separate"/>
            <w:t>8</w:t>
            <w:fldChar w:fldCharType="end"/>
            <w:fldChar w:fldCharType="end"/>
          </w:r>
        </w:p>
        <w:p w14:paraId="7BE83892">
          <w:pPr>
            <w:pStyle w:val="8"/>
            <w:tabs>
              <w:tab w:val="right" w:leader="dot" w:pos="9070"/>
            </w:tabs>
            <w:ind w:left="960"/>
            <w:rPr>
              <w:sz w:val="32"/>
              <w:szCs w:val="32"/>
            </w:rPr>
          </w:pPr>
          <w:r>
            <w:fldChar w:fldCharType="begin"/>
            <w:instrText xml:space="preserve"> HYPERLINK \l "_Toc4887" </w:instrText>
            <w:fldChar w:fldCharType="separate"/>
          </w:r>
          <w:r>
            <w:rPr>
              <w:rFonts w:hint="eastAsia" w:asciiTheme="majorEastAsia" w:hAnsiTheme="majorEastAsia" w:eastAsiaTheme="majorEastAsia" w:cstheme="majorEastAsia"/>
              <w:bCs/>
              <w:sz w:val="32"/>
              <w:szCs w:val="32"/>
            </w:rPr>
            <w:t>4.4 性能对比汇总</w:t>
          </w:r>
          <w:r>
            <w:rPr>
              <w:sz w:val="32"/>
              <w:szCs w:val="32"/>
            </w:rPr>
            <w:tab/>
            <w:fldChar w:fldCharType="begin"/>
            <w:instrText xml:space="preserve"> PAGEREF _Toc4887 \h </w:instrText>
            <w:fldChar w:fldCharType="separate"/>
            <w:t>9</w:t>
            <w:fldChar w:fldCharType="end"/>
            <w:fldChar w:fldCharType="end"/>
          </w:r>
        </w:p>
        <w:p w14:paraId="16CF302E">
          <w:pPr>
            <w:pStyle w:val="13"/>
            <w:tabs>
              <w:tab w:val="right" w:leader="dot" w:pos="9070"/>
            </w:tabs>
            <w:ind w:left="480"/>
            <w:rPr>
              <w:b/>
              <w:sz w:val="32"/>
              <w:szCs w:val="32"/>
            </w:rPr>
          </w:pPr>
          <w:r>
            <w:fldChar w:fldCharType="begin"/>
            <w:instrText xml:space="preserve"> HYPERLINK \l "_Toc12121" </w:instrText>
            <w:fldChar w:fldCharType="separate"/>
          </w:r>
          <w:r>
            <w:rPr>
              <w:rFonts w:hint="eastAsia" w:asciiTheme="majorEastAsia" w:hAnsiTheme="majorEastAsia" w:eastAsiaTheme="majorEastAsia" w:cstheme="majorEastAsia"/>
              <w:b/>
              <w:sz w:val="32"/>
              <w:szCs w:val="32"/>
            </w:rPr>
            <w:t>5.动态响应与鲁棒性验证</w:t>
          </w:r>
          <w:r>
            <w:rPr>
              <w:b/>
              <w:sz w:val="32"/>
              <w:szCs w:val="32"/>
            </w:rPr>
            <w:tab/>
            <w:fldChar w:fldCharType="begin"/>
            <w:instrText xml:space="preserve"> PAGEREF _Toc12121 \h </w:instrText>
            <w:fldChar w:fldCharType="separate"/>
            <w:t>11</w:t>
            <w:fldChar w:fldCharType="end"/>
            <w:fldChar w:fldCharType="end"/>
          </w:r>
        </w:p>
        <w:p w14:paraId="257800FF">
          <w:pPr>
            <w:pStyle w:val="8"/>
            <w:tabs>
              <w:tab w:val="right" w:leader="dot" w:pos="9070"/>
            </w:tabs>
            <w:ind w:left="960"/>
            <w:rPr>
              <w:sz w:val="32"/>
              <w:szCs w:val="32"/>
            </w:rPr>
          </w:pPr>
          <w:r>
            <w:fldChar w:fldCharType="begin"/>
            <w:instrText xml:space="preserve"> HYPERLINK \l "_Toc756" </w:instrText>
            <w:fldChar w:fldCharType="separate"/>
          </w:r>
          <w:r>
            <w:rPr>
              <w:rFonts w:hint="eastAsia" w:asciiTheme="majorEastAsia" w:hAnsiTheme="majorEastAsia" w:eastAsiaTheme="majorEastAsia" w:cstheme="majorEastAsia"/>
              <w:bCs/>
              <w:sz w:val="32"/>
              <w:szCs w:val="32"/>
            </w:rPr>
            <w:t>5.1 动态响应指标对比</w:t>
          </w:r>
          <w:r>
            <w:rPr>
              <w:sz w:val="32"/>
              <w:szCs w:val="32"/>
            </w:rPr>
            <w:tab/>
            <w:fldChar w:fldCharType="begin"/>
            <w:instrText xml:space="preserve"> PAGEREF _Toc756 \h </w:instrText>
            <w:fldChar w:fldCharType="separate"/>
            <w:t>11</w:t>
            <w:fldChar w:fldCharType="end"/>
            <w:fldChar w:fldCharType="end"/>
          </w:r>
        </w:p>
        <w:p w14:paraId="07CAF787">
          <w:pPr>
            <w:pStyle w:val="8"/>
            <w:tabs>
              <w:tab w:val="right" w:leader="dot" w:pos="9070"/>
            </w:tabs>
            <w:ind w:left="960"/>
            <w:rPr>
              <w:sz w:val="32"/>
              <w:szCs w:val="32"/>
            </w:rPr>
          </w:pPr>
          <w:r>
            <w:fldChar w:fldCharType="begin"/>
            <w:instrText xml:space="preserve"> HYPERLINK \l "_Toc2541" </w:instrText>
            <w:fldChar w:fldCharType="separate"/>
          </w:r>
          <w:r>
            <w:rPr>
              <w:rFonts w:hint="eastAsia" w:asciiTheme="majorEastAsia" w:hAnsiTheme="majorEastAsia" w:eastAsiaTheme="majorEastAsia" w:cstheme="majorEastAsia"/>
              <w:bCs/>
              <w:sz w:val="32"/>
              <w:szCs w:val="32"/>
            </w:rPr>
            <w:t>5.2 抗扰动鲁棒性分析</w:t>
          </w:r>
          <w:r>
            <w:rPr>
              <w:sz w:val="32"/>
              <w:szCs w:val="32"/>
            </w:rPr>
            <w:tab/>
            <w:fldChar w:fldCharType="begin"/>
            <w:instrText xml:space="preserve"> PAGEREF _Toc2541 \h </w:instrText>
            <w:fldChar w:fldCharType="separate"/>
            <w:t>11</w:t>
            <w:fldChar w:fldCharType="end"/>
            <w:fldChar w:fldCharType="end"/>
          </w:r>
        </w:p>
        <w:p w14:paraId="1086B510">
          <w:pPr>
            <w:pStyle w:val="13"/>
            <w:tabs>
              <w:tab w:val="right" w:leader="dot" w:pos="9070"/>
            </w:tabs>
            <w:ind w:left="480"/>
            <w:rPr>
              <w:b/>
              <w:sz w:val="32"/>
              <w:szCs w:val="32"/>
            </w:rPr>
          </w:pPr>
          <w:r>
            <w:fldChar w:fldCharType="begin"/>
            <w:instrText xml:space="preserve"> HYPERLINK \l "_Toc16084" </w:instrText>
            <w:fldChar w:fldCharType="separate"/>
          </w:r>
          <w:r>
            <w:rPr>
              <w:rFonts w:hint="eastAsia" w:asciiTheme="majorEastAsia" w:hAnsiTheme="majorEastAsia" w:eastAsiaTheme="majorEastAsia" w:cstheme="majorEastAsia"/>
              <w:b/>
              <w:sz w:val="32"/>
              <w:szCs w:val="32"/>
            </w:rPr>
            <w:t>6. 参考可行性与姿态安全机理分析</w:t>
          </w:r>
          <w:r>
            <w:rPr>
              <w:b/>
              <w:sz w:val="32"/>
              <w:szCs w:val="32"/>
            </w:rPr>
            <w:tab/>
            <w:fldChar w:fldCharType="begin"/>
            <w:instrText xml:space="preserve"> PAGEREF _Toc16084 \h </w:instrText>
            <w:fldChar w:fldCharType="separate"/>
            <w:t>13</w:t>
            <w:fldChar w:fldCharType="end"/>
            <w:fldChar w:fldCharType="end"/>
          </w:r>
        </w:p>
        <w:p w14:paraId="1ADCD113">
          <w:pPr>
            <w:pStyle w:val="8"/>
            <w:tabs>
              <w:tab w:val="right" w:leader="dot" w:pos="9070"/>
            </w:tabs>
            <w:ind w:left="960"/>
            <w:rPr>
              <w:sz w:val="32"/>
              <w:szCs w:val="32"/>
            </w:rPr>
          </w:pPr>
          <w:r>
            <w:fldChar w:fldCharType="begin"/>
            <w:instrText xml:space="preserve"> HYPERLINK \l "_Toc5403" </w:instrText>
            <w:fldChar w:fldCharType="separate"/>
          </w:r>
          <w:r>
            <w:rPr>
              <w:rFonts w:hint="eastAsia" w:asciiTheme="majorEastAsia" w:hAnsiTheme="majorEastAsia" w:eastAsiaTheme="majorEastAsia" w:cstheme="majorEastAsia"/>
              <w:bCs/>
              <w:sz w:val="32"/>
              <w:szCs w:val="32"/>
            </w:rPr>
            <w:t>6.1 姿态超限事件的溯源</w:t>
          </w:r>
          <w:r>
            <w:rPr>
              <w:sz w:val="32"/>
              <w:szCs w:val="32"/>
            </w:rPr>
            <w:tab/>
            <w:fldChar w:fldCharType="begin"/>
            <w:instrText xml:space="preserve"> PAGEREF _Toc5403 \h </w:instrText>
            <w:fldChar w:fldCharType="separate"/>
            <w:t>13</w:t>
            <w:fldChar w:fldCharType="end"/>
            <w:fldChar w:fldCharType="end"/>
          </w:r>
        </w:p>
        <w:p w14:paraId="244D8A77">
          <w:pPr>
            <w:pStyle w:val="8"/>
            <w:tabs>
              <w:tab w:val="right" w:leader="dot" w:pos="9070"/>
            </w:tabs>
            <w:ind w:left="960"/>
            <w:rPr>
              <w:sz w:val="32"/>
              <w:szCs w:val="32"/>
            </w:rPr>
          </w:pPr>
          <w:r>
            <w:fldChar w:fldCharType="begin"/>
            <w:instrText xml:space="preserve"> HYPERLINK \l "_Toc31749" </w:instrText>
            <w:fldChar w:fldCharType="separate"/>
          </w:r>
          <w:r>
            <w:rPr>
              <w:rFonts w:hint="eastAsia" w:asciiTheme="majorEastAsia" w:hAnsiTheme="majorEastAsia" w:eastAsiaTheme="majorEastAsia" w:cstheme="majorEastAsia"/>
              <w:bCs/>
              <w:sz w:val="32"/>
              <w:szCs w:val="32"/>
            </w:rPr>
            <w:t>6.2 单轴与多轴不连续的对照</w:t>
          </w:r>
          <w:r>
            <w:rPr>
              <w:sz w:val="32"/>
              <w:szCs w:val="32"/>
            </w:rPr>
            <w:tab/>
            <w:fldChar w:fldCharType="begin"/>
            <w:instrText xml:space="preserve"> PAGEREF _Toc31749 \h </w:instrText>
            <w:fldChar w:fldCharType="separate"/>
            <w:t>14</w:t>
            <w:fldChar w:fldCharType="end"/>
            <w:fldChar w:fldCharType="end"/>
          </w:r>
        </w:p>
        <w:p w14:paraId="4DC5B26C">
          <w:pPr>
            <w:pStyle w:val="8"/>
            <w:tabs>
              <w:tab w:val="right" w:leader="dot" w:pos="9070"/>
            </w:tabs>
            <w:ind w:left="960"/>
            <w:rPr>
              <w:sz w:val="32"/>
              <w:szCs w:val="32"/>
            </w:rPr>
          </w:pPr>
          <w:r>
            <w:fldChar w:fldCharType="begin"/>
            <w:instrText xml:space="preserve"> HYPERLINK \l "_Toc28661" </w:instrText>
            <w:fldChar w:fldCharType="separate"/>
          </w:r>
          <w:r>
            <w:rPr>
              <w:rFonts w:hint="eastAsia" w:asciiTheme="majorEastAsia" w:hAnsiTheme="majorEastAsia" w:eastAsiaTheme="majorEastAsia" w:cstheme="majorEastAsia"/>
              <w:bCs/>
              <w:sz w:val="32"/>
              <w:szCs w:val="32"/>
            </w:rPr>
            <w:t>6.3 安全链设计与模型接入</w:t>
          </w:r>
          <w:r>
            <w:rPr>
              <w:sz w:val="32"/>
              <w:szCs w:val="32"/>
            </w:rPr>
            <w:tab/>
            <w:fldChar w:fldCharType="begin"/>
            <w:instrText xml:space="preserve"> PAGEREF _Toc28661 \h </w:instrText>
            <w:fldChar w:fldCharType="separate"/>
            <w:t>15</w:t>
            <w:fldChar w:fldCharType="end"/>
            <w:fldChar w:fldCharType="end"/>
          </w:r>
        </w:p>
        <w:p w14:paraId="345AC61B">
          <w:pPr>
            <w:pStyle w:val="8"/>
            <w:tabs>
              <w:tab w:val="right" w:leader="dot" w:pos="9070"/>
            </w:tabs>
            <w:ind w:left="960"/>
            <w:rPr>
              <w:sz w:val="32"/>
              <w:szCs w:val="32"/>
            </w:rPr>
          </w:pPr>
          <w:r>
            <w:fldChar w:fldCharType="begin"/>
            <w:instrText xml:space="preserve"> HYPERLINK \l "_Toc10315" </w:instrText>
            <w:fldChar w:fldCharType="separate"/>
          </w:r>
          <w:r>
            <w:rPr>
              <w:rFonts w:hint="eastAsia" w:asciiTheme="majorEastAsia" w:hAnsiTheme="majorEastAsia" w:eastAsiaTheme="majorEastAsia" w:cstheme="majorEastAsia"/>
              <w:bCs/>
              <w:sz w:val="32"/>
              <w:szCs w:val="32"/>
            </w:rPr>
            <w:t>6.4 多机编队控制律</w:t>
          </w:r>
          <w:r>
            <w:rPr>
              <w:sz w:val="32"/>
              <w:szCs w:val="32"/>
            </w:rPr>
            <w:tab/>
            <w:fldChar w:fldCharType="begin"/>
            <w:instrText xml:space="preserve"> PAGEREF _Toc10315 \h </w:instrText>
            <w:fldChar w:fldCharType="separate"/>
            <w:t>16</w:t>
            <w:fldChar w:fldCharType="end"/>
            <w:fldChar w:fldCharType="end"/>
          </w:r>
        </w:p>
        <w:p w14:paraId="196ED0BA">
          <w:pPr>
            <w:pStyle w:val="13"/>
            <w:tabs>
              <w:tab w:val="right" w:leader="dot" w:pos="9070"/>
            </w:tabs>
            <w:ind w:left="480"/>
            <w:rPr>
              <w:b/>
              <w:sz w:val="32"/>
              <w:szCs w:val="32"/>
            </w:rPr>
          </w:pPr>
          <w:r>
            <w:fldChar w:fldCharType="begin"/>
            <w:instrText xml:space="preserve"> HYPERLINK \l "_Toc22598" </w:instrText>
            <w:fldChar w:fldCharType="separate"/>
          </w:r>
          <w:r>
            <w:rPr>
              <w:rFonts w:hint="eastAsia" w:asciiTheme="majorEastAsia" w:hAnsiTheme="majorEastAsia" w:eastAsiaTheme="majorEastAsia" w:cstheme="majorEastAsia"/>
              <w:b/>
              <w:sz w:val="32"/>
              <w:szCs w:val="32"/>
            </w:rPr>
            <w:t>7. 总结与展望</w:t>
          </w:r>
          <w:r>
            <w:rPr>
              <w:b/>
              <w:sz w:val="32"/>
              <w:szCs w:val="32"/>
            </w:rPr>
            <w:tab/>
            <w:fldChar w:fldCharType="begin"/>
            <w:instrText xml:space="preserve"> PAGEREF _Toc22598 \h </w:instrText>
            <w:fldChar w:fldCharType="separate"/>
            <w:t>18</w:t>
            <w:fldChar w:fldCharType="end"/>
            <w:fldChar w:fldCharType="end"/>
          </w:r>
        </w:p>
        <w:p w14:paraId="4B4A3E05">
          <w:pPr>
            <w:pStyle w:val="8"/>
            <w:tabs>
              <w:tab w:val="right" w:leader="dot" w:pos="9070"/>
            </w:tabs>
            <w:ind w:left="960"/>
            <w:rPr>
              <w:sz w:val="32"/>
              <w:szCs w:val="32"/>
            </w:rPr>
          </w:pPr>
          <w:r>
            <w:fldChar w:fldCharType="begin"/>
            <w:instrText xml:space="preserve"> HYPERLINK \l "_Toc15633" </w:instrText>
            <w:fldChar w:fldCharType="separate"/>
          </w:r>
          <w:r>
            <w:rPr>
              <w:rFonts w:hint="eastAsia" w:asciiTheme="majorEastAsia" w:hAnsiTheme="majorEastAsia" w:eastAsiaTheme="majorEastAsia" w:cstheme="majorEastAsia"/>
              <w:bCs/>
              <w:sz w:val="32"/>
              <w:szCs w:val="32"/>
            </w:rPr>
            <w:t>7.1 核心成果总结</w:t>
          </w:r>
          <w:r>
            <w:rPr>
              <w:sz w:val="32"/>
              <w:szCs w:val="32"/>
            </w:rPr>
            <w:tab/>
            <w:fldChar w:fldCharType="begin"/>
            <w:instrText xml:space="preserve"> PAGEREF _Toc15633 \h </w:instrText>
            <w:fldChar w:fldCharType="separate"/>
            <w:t>18</w:t>
            <w:fldChar w:fldCharType="end"/>
            <w:fldChar w:fldCharType="end"/>
          </w:r>
        </w:p>
        <w:p w14:paraId="7A3A2678">
          <w:pPr>
            <w:pStyle w:val="8"/>
            <w:tabs>
              <w:tab w:val="right" w:leader="dot" w:pos="9070"/>
            </w:tabs>
            <w:ind w:left="960"/>
            <w:rPr>
              <w:sz w:val="32"/>
              <w:szCs w:val="32"/>
            </w:rPr>
          </w:pPr>
          <w:r>
            <w:fldChar w:fldCharType="begin"/>
            <w:instrText xml:space="preserve"> HYPERLINK \l "_Toc29036" </w:instrText>
            <w:fldChar w:fldCharType="separate"/>
          </w:r>
          <w:r>
            <w:rPr>
              <w:rFonts w:hint="eastAsia" w:asciiTheme="majorEastAsia" w:hAnsiTheme="majorEastAsia" w:eastAsiaTheme="majorEastAsia" w:cstheme="majorEastAsia"/>
              <w:bCs/>
              <w:sz w:val="32"/>
              <w:szCs w:val="32"/>
            </w:rPr>
            <w:t>7.2 作品亮点分析</w:t>
          </w:r>
          <w:r>
            <w:rPr>
              <w:sz w:val="32"/>
              <w:szCs w:val="32"/>
            </w:rPr>
            <w:tab/>
            <w:fldChar w:fldCharType="begin"/>
            <w:instrText xml:space="preserve"> PAGEREF _Toc29036 \h </w:instrText>
            <w:fldChar w:fldCharType="separate"/>
            <w:t>18</w:t>
            <w:fldChar w:fldCharType="end"/>
            <w:fldChar w:fldCharType="end"/>
          </w:r>
        </w:p>
        <w:p w14:paraId="23E2D5F0">
          <w:pPr>
            <w:pStyle w:val="8"/>
            <w:tabs>
              <w:tab w:val="right" w:leader="dot" w:pos="9070"/>
            </w:tabs>
            <w:ind w:left="960"/>
            <w:rPr>
              <w:sz w:val="32"/>
              <w:szCs w:val="32"/>
            </w:rPr>
          </w:pPr>
          <w:r>
            <w:fldChar w:fldCharType="begin"/>
            <w:instrText xml:space="preserve"> HYPERLINK \l "_Toc10579" </w:instrText>
            <w:fldChar w:fldCharType="separate"/>
          </w:r>
          <w:r>
            <w:rPr>
              <w:rFonts w:hint="eastAsia" w:asciiTheme="majorEastAsia" w:hAnsiTheme="majorEastAsia" w:eastAsiaTheme="majorEastAsia" w:cstheme="majorEastAsia"/>
              <w:bCs/>
              <w:sz w:val="32"/>
              <w:szCs w:val="32"/>
            </w:rPr>
            <w:t>7.3 不足与后续优化方向</w:t>
          </w:r>
          <w:r>
            <w:rPr>
              <w:sz w:val="32"/>
              <w:szCs w:val="32"/>
            </w:rPr>
            <w:tab/>
            <w:fldChar w:fldCharType="begin"/>
            <w:instrText xml:space="preserve"> PAGEREF _Toc10579 \h </w:instrText>
            <w:fldChar w:fldCharType="separate"/>
            <w:t>19</w:t>
            <w:fldChar w:fldCharType="end"/>
            <w:fldChar w:fldCharType="end"/>
          </w:r>
        </w:p>
        <w:p w14:paraId="503613E8">
          <w:pPr>
            <w:pStyle w:val="13"/>
            <w:tabs>
              <w:tab w:val="right" w:leader="dot" w:pos="9070"/>
            </w:tabs>
            <w:ind w:left="480"/>
            <w:rPr>
              <w:b/>
              <w:sz w:val="32"/>
              <w:szCs w:val="32"/>
            </w:rPr>
          </w:pPr>
          <w:r>
            <w:fldChar w:fldCharType="begin"/>
            <w:instrText xml:space="preserve"> HYPERLINK \l "_Toc19240" </w:instrText>
            <w:fldChar w:fldCharType="separate"/>
          </w:r>
          <w:r>
            <w:rPr>
              <w:rFonts w:eastAsia="黑体"/>
              <w:b/>
              <w:sz w:val="32"/>
              <w:szCs w:val="32"/>
            </w:rPr>
            <w:t>参考文献</w:t>
          </w:r>
          <w:r>
            <w:rPr>
              <w:b/>
              <w:sz w:val="32"/>
              <w:szCs w:val="32"/>
            </w:rPr>
            <w:tab/>
            <w:fldChar w:fldCharType="begin"/>
            <w:instrText xml:space="preserve"> PAGEREF _Toc19240 \h </w:instrText>
            <w:fldChar w:fldCharType="separate"/>
            <w:t>19</w:t>
            <w:fldChar w:fldCharType="end"/>
            <w:fldChar w:fldCharType="end"/>
          </w:r>
        </w:p>
        <w:p w14:paraId="49614F54"/>
        <w:p w14:paraId="45A67C34">
          <w:pPr>
            <w:spacing w:before="120" w:after="120" w:line="360" w:lineRule="auto"/>
            <w:rPr>
              <w:rFonts w:hint="eastAsia" w:asciiTheme="majorEastAsia" w:hAnsiTheme="majorEastAsia" w:eastAsiaTheme="majorEastAsia" w:cstheme="majorEastAsia"/>
              <w:b/>
              <w:bCs/>
              <w:sz w:val="44"/>
              <w:szCs w:val="44"/>
            </w:rPr>
            <w:sectPr>
              <w:footerReference r:id="rId5" w:type="default"/>
              <w:pgSz w:w="11906" w:h="16838"/>
              <w:pgMar w:top="1418" w:right="1418" w:bottom="1418" w:left="1418" w:header="708" w:footer="708" w:gutter="0"/>
              <w:pgNumType w:start="1"/>
              <w:cols w:space="720" w:num="1"/>
              <w:docGrid w:linePitch="360" w:charSpace="0"/>
            </w:sectPr>
          </w:pPr>
          <w:r>
            <w:rPr>
              <w:rFonts w:hint="eastAsia" w:asciiTheme="majorEastAsia" w:hAnsiTheme="majorEastAsia" w:eastAsiaTheme="majorEastAsia" w:cstheme="majorEastAsia"/>
              <w:bCs/>
              <w:sz w:val="32"/>
              <w:szCs w:val="32"/>
            </w:rPr>
            <w:fldChar w:fldCharType="end"/>
          </w:r>
          <w:bookmarkStart w:id="32" w:name="_GoBack"/>
          <w:bookmarkEnd w:id="32"/>
        </w:p>
      </w:sdtContent>
    </w:sdt>
    <w:p w14:paraId="1EF7B753">
      <w:pPr>
        <w:pStyle w:val="3"/>
        <w:spacing w:before="180" w:after="90"/>
        <w:ind w:firstLine="0"/>
        <w:rPr>
          <w:rFonts w:hint="eastAsia" w:asciiTheme="majorEastAsia" w:hAnsiTheme="majorEastAsia" w:eastAsiaTheme="majorEastAsia" w:cstheme="majorEastAsia"/>
          <w:b/>
          <w:bCs/>
          <w:sz w:val="44"/>
          <w:szCs w:val="44"/>
        </w:rPr>
      </w:pPr>
      <w:bookmarkStart w:id="2" w:name="_Toc27386"/>
      <w:r>
        <w:rPr>
          <w:rFonts w:hint="eastAsia" w:asciiTheme="majorEastAsia" w:hAnsiTheme="majorEastAsia" w:eastAsiaTheme="majorEastAsia" w:cstheme="majorEastAsia"/>
          <w:b/>
          <w:bCs/>
          <w:sz w:val="44"/>
          <w:szCs w:val="44"/>
        </w:rPr>
        <w:t>1.作品概述</w:t>
      </w:r>
      <w:bookmarkEnd w:id="2"/>
    </w:p>
    <w:p w14:paraId="2040BC3A">
      <w:pPr>
        <w:pStyle w:val="4"/>
        <w:ind w:firstLine="0"/>
        <w:rPr>
          <w:rFonts w:hint="eastAsia" w:asciiTheme="majorEastAsia" w:hAnsiTheme="majorEastAsia" w:eastAsiaTheme="majorEastAsia" w:cstheme="majorEastAsia"/>
          <w:b/>
          <w:bCs/>
          <w:sz w:val="36"/>
          <w:szCs w:val="36"/>
        </w:rPr>
      </w:pPr>
      <w:bookmarkStart w:id="3" w:name="_Toc1158"/>
      <w:r>
        <w:rPr>
          <w:rFonts w:hint="eastAsia" w:asciiTheme="majorEastAsia" w:hAnsiTheme="majorEastAsia" w:eastAsiaTheme="majorEastAsia" w:cstheme="majorEastAsia"/>
          <w:b/>
          <w:bCs/>
          <w:sz w:val="36"/>
          <w:szCs w:val="36"/>
        </w:rPr>
        <w:t>1.1基本信息</w:t>
      </w:r>
      <w:bookmarkEnd w:id="3"/>
    </w:p>
    <w:p w14:paraId="6E81C513">
      <w:pPr>
        <w:pStyle w:val="21"/>
        <w:numPr>
          <w:ilvl w:val="0"/>
          <w:numId w:val="1"/>
        </w:numPr>
        <w:ind w:left="901"/>
      </w:pPr>
      <w:r>
        <w:rPr>
          <w:rFonts w:hint="eastAsia" w:ascii="黑体" w:hAnsi="黑体" w:eastAsia="黑体"/>
        </w:rPr>
        <w:t>作品名称：四旋翼无人机位姿控制系统设计优化</w:t>
      </w:r>
    </w:p>
    <w:p w14:paraId="0372591A">
      <w:pPr>
        <w:pStyle w:val="21"/>
        <w:numPr>
          <w:ilvl w:val="0"/>
          <w:numId w:val="1"/>
        </w:numPr>
        <w:ind w:left="901"/>
      </w:pPr>
      <w:r>
        <w:rPr>
          <w:rFonts w:hint="eastAsia" w:ascii="黑体" w:hAnsi="黑体" w:eastAsia="黑体"/>
        </w:rPr>
        <w:t>团队成员：陈弋函、郑皓天、汪德能</w:t>
      </w:r>
    </w:p>
    <w:p w14:paraId="54D0DCD6">
      <w:pPr>
        <w:pStyle w:val="21"/>
        <w:numPr>
          <w:ilvl w:val="0"/>
          <w:numId w:val="1"/>
        </w:numPr>
        <w:ind w:left="901"/>
      </w:pPr>
      <w:r>
        <w:rPr>
          <w:rFonts w:hint="eastAsia" w:ascii="黑体" w:hAnsi="黑体" w:eastAsia="黑体"/>
        </w:rPr>
        <w:t>学    校：西安交通大学城市学院</w:t>
      </w:r>
    </w:p>
    <w:p w14:paraId="6BB4E5E4">
      <w:pPr>
        <w:pStyle w:val="21"/>
        <w:numPr>
          <w:ilvl w:val="0"/>
          <w:numId w:val="1"/>
        </w:numPr>
        <w:ind w:left="901"/>
      </w:pPr>
      <w:r>
        <w:rPr>
          <w:rFonts w:hint="eastAsia" w:ascii="黑体" w:hAnsi="黑体" w:eastAsia="黑体"/>
        </w:rPr>
        <w:t>指导教师：庞志成</w:t>
      </w:r>
    </w:p>
    <w:p w14:paraId="15E4481A">
      <w:pPr>
        <w:pStyle w:val="21"/>
        <w:numPr>
          <w:ilvl w:val="0"/>
          <w:numId w:val="1"/>
        </w:numPr>
        <w:ind w:left="901"/>
      </w:pPr>
      <w:r>
        <w:rPr>
          <w:rFonts w:hint="eastAsia" w:ascii="黑体" w:hAnsi="黑体" w:eastAsia="黑体"/>
        </w:rPr>
        <w:t>软件工具：</w:t>
      </w:r>
      <w:r>
        <w:rPr>
          <w:rFonts w:cs="Times New Roman"/>
        </w:rPr>
        <w:t>MWORKS Sysplorer 2026a</w:t>
      </w:r>
    </w:p>
    <w:p w14:paraId="71AED30D"/>
    <w:p w14:paraId="5AE3901C">
      <w:pPr>
        <w:pStyle w:val="4"/>
        <w:ind w:firstLine="0"/>
        <w:rPr>
          <w:rFonts w:hint="eastAsia" w:asciiTheme="majorEastAsia" w:hAnsiTheme="majorEastAsia" w:eastAsiaTheme="majorEastAsia" w:cstheme="majorEastAsia"/>
          <w:b/>
          <w:bCs/>
          <w:sz w:val="36"/>
          <w:szCs w:val="36"/>
        </w:rPr>
      </w:pPr>
      <w:bookmarkStart w:id="4" w:name="_Toc28373"/>
      <w:r>
        <w:rPr>
          <w:rFonts w:hint="eastAsia" w:asciiTheme="majorEastAsia" w:hAnsiTheme="majorEastAsia" w:eastAsiaTheme="majorEastAsia" w:cstheme="majorEastAsia"/>
          <w:b/>
          <w:bCs/>
          <w:sz w:val="36"/>
          <w:szCs w:val="36"/>
        </w:rPr>
        <w:t>1.2 概述</w:t>
      </w:r>
      <w:bookmarkEnd w:id="4"/>
    </w:p>
    <w:p w14:paraId="671C5BB6">
      <w:pPr>
        <w:spacing w:line="360" w:lineRule="auto"/>
        <w:ind w:firstLine="499"/>
        <w:rPr>
          <w:rFonts w:hint="eastAsia" w:asciiTheme="minorEastAsia" w:hAnsiTheme="minorEastAsia" w:eastAsiaTheme="minorEastAsia" w:cstheme="minorEastAsia"/>
        </w:rPr>
      </w:pPr>
      <w:r>
        <w:rPr>
          <w:rFonts w:hint="eastAsia" w:asciiTheme="minorEastAsia" w:hAnsiTheme="minorEastAsia" w:eastAsiaTheme="minorEastAsia" w:cstheme="minorEastAsia"/>
        </w:rPr>
        <w:t>本作品基于</w:t>
      </w:r>
      <w:r>
        <w:rPr>
          <w:rFonts w:cs="Times New Roman"/>
        </w:rPr>
        <w:t>MWORKS Sysplorer 2026a</w:t>
      </w:r>
      <w:r>
        <w:rPr>
          <w:rFonts w:hint="eastAsia" w:asciiTheme="minorEastAsia" w:hAnsiTheme="minorEastAsia" w:eastAsiaTheme="minorEastAsia" w:cstheme="minorEastAsia"/>
        </w:rPr>
        <w:t>平台，围绕四旋翼无人机高精度轨迹跟踪与飞行安全保障这一典型工程需求，完成了一套集动力学建模、复合滑模控制、安全约束监测及多场景仿真验证于一体的图形化建模与仿真分析。作品围绕“物理对象—控制算法—安全防护—结果评价”的完整链路展开，旨在验证复合滑模控制器相较于传统</w:t>
      </w:r>
      <w:r>
        <w:rPr>
          <w:rFonts w:cs="Times New Roman" w:eastAsiaTheme="minorEastAsia"/>
        </w:rPr>
        <w:t>PID</w:t>
      </w:r>
      <w:r>
        <w:rPr>
          <w:rFonts w:hint="eastAsia" w:asciiTheme="minorEastAsia" w:hAnsiTheme="minorEastAsia" w:eastAsiaTheme="minorEastAsia" w:cstheme="minorEastAsia"/>
        </w:rPr>
        <w:t>控制在轨迹跟踪精度和姿态稳定性方面的提升效果，并准确实现姿态边界超限预警功能。</w:t>
      </w:r>
    </w:p>
    <w:p w14:paraId="45F73147">
      <w:pPr>
        <w:spacing w:line="360" w:lineRule="auto"/>
        <w:ind w:firstLine="499"/>
        <w:rPr>
          <w:rFonts w:hint="eastAsia" w:asciiTheme="minorEastAsia" w:hAnsiTheme="minorEastAsia" w:eastAsiaTheme="minorEastAsia" w:cstheme="minorEastAsia"/>
        </w:rPr>
      </w:pPr>
      <w:r>
        <w:rPr>
          <w:rFonts w:hint="eastAsia" w:asciiTheme="minorEastAsia" w:hAnsiTheme="minorEastAsia" w:eastAsiaTheme="minorEastAsia" w:cstheme="minorEastAsia"/>
        </w:rPr>
        <w:t>在建模层面，系统采用五层分层架构设计，底层复用</w:t>
      </w:r>
      <w:r>
        <w:rPr>
          <w:rFonts w:cs="Times New Roman" w:eastAsiaTheme="minorEastAsia"/>
        </w:rPr>
        <w:t>MoHub</w:t>
      </w:r>
      <w:r>
        <w:rPr>
          <w:rFonts w:hint="eastAsia" w:asciiTheme="minorEastAsia" w:hAnsiTheme="minorEastAsia" w:eastAsiaTheme="minorEastAsia" w:cstheme="minorEastAsia"/>
        </w:rPr>
        <w:t>标准四旋翼动力学模型，确保物理基准的统一性与客观性；控制器层通过</w:t>
      </w:r>
      <w:r>
        <w:rPr>
          <w:rFonts w:cs="Times New Roman" w:eastAsiaTheme="minorEastAsia"/>
        </w:rPr>
        <w:t>replaceable/redeclare</w:t>
      </w:r>
      <w:r>
        <w:rPr>
          <w:rFonts w:hint="eastAsia" w:asciiTheme="minorEastAsia" w:hAnsiTheme="minorEastAsia" w:eastAsiaTheme="minorEastAsia" w:cstheme="minorEastAsia"/>
        </w:rPr>
        <w:t>语法将传统</w:t>
      </w:r>
      <w:r>
        <w:rPr>
          <w:rFonts w:cs="Times New Roman" w:eastAsiaTheme="minorEastAsia"/>
        </w:rPr>
        <w:t>PID</w:t>
      </w:r>
      <w:r>
        <w:rPr>
          <w:rFonts w:hint="eastAsia" w:asciiTheme="minorEastAsia" w:hAnsiTheme="minorEastAsia" w:eastAsiaTheme="minorEastAsia" w:cstheme="minorEastAsia"/>
        </w:rPr>
        <w:t>控制器结构性替换为滑模控制器（</w:t>
      </w:r>
      <w:r>
        <w:rPr>
          <w:rFonts w:cs="Times New Roman" w:eastAsiaTheme="minorEastAsia"/>
        </w:rPr>
        <w:t>SlidingModeController</w:t>
      </w:r>
      <w:r>
        <w:rPr>
          <w:rFonts w:hint="eastAsia" w:asciiTheme="minorEastAsia" w:hAnsiTheme="minorEastAsia" w:eastAsiaTheme="minorEastAsia" w:cstheme="minorEastAsia"/>
        </w:rPr>
        <w:t>），横向位置外环采用</w:t>
      </w:r>
      <w:r>
        <w:rPr>
          <w:rFonts w:cs="Times New Roman" w:eastAsiaTheme="minorEastAsia"/>
        </w:rPr>
        <w:t>HybridPIDSlidingMode</w:t>
      </w:r>
      <w:r>
        <w:rPr>
          <w:rFonts w:hint="eastAsia" w:asciiTheme="minorEastAsia" w:hAnsiTheme="minorEastAsia" w:eastAsiaTheme="minorEastAsia" w:cstheme="minorEastAsia"/>
        </w:rPr>
        <w:t>复合滑模算法，高度通道与姿态内环保留</w:t>
      </w:r>
      <w:r>
        <w:rPr>
          <w:rFonts w:cs="Times New Roman" w:eastAsiaTheme="minorEastAsia"/>
        </w:rPr>
        <w:t>PID</w:t>
      </w:r>
      <w:r>
        <w:rPr>
          <w:rFonts w:hint="eastAsia" w:asciiTheme="minorEastAsia" w:hAnsiTheme="minorEastAsia" w:eastAsiaTheme="minorEastAsia" w:cstheme="minorEastAsia"/>
        </w:rPr>
        <w:t>结构以保证系统稳定性；上层集成</w:t>
      </w:r>
      <w:r>
        <w:rPr>
          <w:rFonts w:cs="Times New Roman" w:eastAsiaTheme="minorEastAsia"/>
        </w:rPr>
        <w:t>CBF</w:t>
      </w:r>
      <w:r>
        <w:rPr>
          <w:rFonts w:hint="eastAsia" w:asciiTheme="minorEastAsia" w:hAnsiTheme="minorEastAsia" w:eastAsiaTheme="minorEastAsia" w:cstheme="minorEastAsia"/>
        </w:rPr>
        <w:t>安全投影、</w:t>
      </w:r>
      <w:r>
        <w:rPr>
          <w:rFonts w:cs="Times New Roman" w:eastAsiaTheme="minorEastAsia"/>
        </w:rPr>
        <w:t>PPC</w:t>
      </w:r>
      <w:r>
        <w:rPr>
          <w:rFonts w:hint="eastAsia" w:asciiTheme="minorEastAsia" w:hAnsiTheme="minorEastAsia" w:eastAsiaTheme="minorEastAsia" w:cstheme="minorEastAsia"/>
        </w:rPr>
        <w:t>误差包络、</w:t>
      </w:r>
      <w:r>
        <w:rPr>
          <w:rFonts w:cs="Times New Roman" w:eastAsiaTheme="minorEastAsia"/>
        </w:rPr>
        <w:t>ERG</w:t>
      </w:r>
      <w:r>
        <w:rPr>
          <w:rFonts w:hint="eastAsia" w:asciiTheme="minorEastAsia" w:hAnsiTheme="minorEastAsia" w:eastAsiaTheme="minorEastAsia" w:cstheme="minorEastAsia"/>
        </w:rPr>
        <w:t>参考调节与姿态风险预警四大安全模块，实现基础控制与安全防护的协同闭环。模型各层之间解耦清晰，模块可独立替换与扩展，兼顾了物理可解释性、图形化表达直观性与仿真求解效率，适合应用于控制算法预研、安全边界评估及多机协同仿真等工程场景。</w:t>
      </w:r>
    </w:p>
    <w:p w14:paraId="372A5AAB">
      <w:pPr>
        <w:spacing w:line="360" w:lineRule="auto"/>
        <w:ind w:firstLine="499"/>
        <w:rPr>
          <w:rFonts w:hint="eastAsia" w:asciiTheme="minorEastAsia" w:hAnsiTheme="minorEastAsia" w:eastAsiaTheme="minorEastAsia" w:cstheme="minorEastAsia"/>
        </w:rPr>
      </w:pPr>
      <w:r>
        <w:rPr>
          <w:rFonts w:hint="eastAsia" w:asciiTheme="minorEastAsia" w:hAnsiTheme="minorEastAsia" w:eastAsiaTheme="minorEastAsia" w:cstheme="minorEastAsia"/>
        </w:rPr>
        <w:t>在仿真层面，设定爬升、螺旋爬升和8字航迹三类典型飞行场景，仿真时长分别为50</w:t>
      </w:r>
      <w:r>
        <w:rPr>
          <w:rFonts w:cs="Times New Roman" w:eastAsiaTheme="minorEastAsia"/>
        </w:rPr>
        <w:t>s</w:t>
      </w:r>
      <w:r>
        <w:rPr>
          <w:rFonts w:hint="eastAsia" w:asciiTheme="minorEastAsia" w:hAnsiTheme="minorEastAsia" w:eastAsiaTheme="minorEastAsia" w:cstheme="minorEastAsia"/>
        </w:rPr>
        <w:t>、50</w:t>
      </w:r>
      <w:bookmarkStart w:id="5" w:name="OLE_LINK1"/>
      <w:r>
        <w:rPr>
          <w:rFonts w:cs="Times New Roman" w:eastAsiaTheme="minorEastAsia"/>
        </w:rPr>
        <w:t>s</w:t>
      </w:r>
      <w:bookmarkEnd w:id="5"/>
      <w:r>
        <w:rPr>
          <w:rFonts w:hint="eastAsia" w:asciiTheme="minorEastAsia" w:hAnsiTheme="minorEastAsia" w:eastAsiaTheme="minorEastAsia" w:cstheme="minorEastAsia"/>
        </w:rPr>
        <w:t>和12</w:t>
      </w:r>
      <w:r>
        <w:rPr>
          <w:rFonts w:cs="Times New Roman" w:eastAsiaTheme="minorEastAsia"/>
        </w:rPr>
        <w:t>s</w:t>
      </w:r>
      <w:r>
        <w:rPr>
          <w:rFonts w:hint="eastAsia" w:asciiTheme="minorEastAsia" w:hAnsiTheme="minorEastAsia" w:eastAsiaTheme="minorEastAsia" w:cstheme="minorEastAsia"/>
        </w:rPr>
        <w:t>，采样间隔0.01</w:t>
      </w:r>
      <w:r>
        <w:rPr>
          <w:rFonts w:cs="Times New Roman" w:eastAsiaTheme="minorEastAsia"/>
        </w:rPr>
        <w:t>s</w:t>
      </w:r>
      <w:r>
        <w:rPr>
          <w:rFonts w:hint="eastAsia" w:asciiTheme="minorEastAsia" w:hAnsiTheme="minorEastAsia" w:eastAsiaTheme="minorEastAsia" w:cstheme="minorEastAsia"/>
        </w:rPr>
        <w:t>，重点观测路径</w:t>
      </w:r>
      <w:r>
        <w:rPr>
          <w:rFonts w:cs="Times New Roman" w:eastAsiaTheme="minorEastAsia"/>
        </w:rPr>
        <w:t>RMSE</w:t>
      </w:r>
      <w:r>
        <w:rPr>
          <w:rFonts w:hint="eastAsia" w:asciiTheme="minorEastAsia" w:hAnsiTheme="minorEastAsia" w:eastAsiaTheme="minorEastAsia" w:cstheme="minorEastAsia"/>
        </w:rPr>
        <w:t>、平均误差、最大误差、阶跃超调及姿态边界超限点数等量化指标。同时通过蒙特卡洛随机回放叠加质量偏差、风扰和传感器噪声完成鲁棒性测试，并以</w:t>
      </w:r>
      <w:r>
        <w:rPr>
          <w:rFonts w:cs="Times New Roman" w:eastAsiaTheme="minorEastAsia"/>
        </w:rPr>
        <w:t>CBF/PPC/ERG</w:t>
      </w:r>
      <w:r>
        <w:rPr>
          <w:rFonts w:hint="eastAsia" w:asciiTheme="minorEastAsia" w:hAnsiTheme="minorEastAsia" w:eastAsiaTheme="minorEastAsia" w:cstheme="minorEastAsia"/>
        </w:rPr>
        <w:t>安全链的设计与接入方式见第6章。</w:t>
      </w:r>
    </w:p>
    <w:p w14:paraId="6EE51ED8">
      <w:pPr>
        <w:spacing w:line="360" w:lineRule="auto"/>
        <w:ind w:firstLine="499"/>
        <w:rPr>
          <w:rFonts w:hint="eastAsia" w:asciiTheme="minorEastAsia" w:hAnsiTheme="minorEastAsia" w:eastAsiaTheme="minorEastAsia" w:cstheme="minorEastAsia"/>
        </w:rPr>
      </w:pPr>
      <w:r>
        <w:rPr>
          <w:rFonts w:hint="eastAsia" w:asciiTheme="minorEastAsia" w:hAnsiTheme="minorEastAsia" w:eastAsiaTheme="minorEastAsia" w:cstheme="minorEastAsia"/>
        </w:rPr>
        <w:t>仿真结果表明：实时仿真口径下，增强模型在三类场景中路径</w:t>
      </w:r>
      <w:r>
        <w:rPr>
          <w:rFonts w:cs="Times New Roman" w:eastAsiaTheme="minorEastAsia"/>
        </w:rPr>
        <w:t>RMSE</w:t>
      </w:r>
      <w:r>
        <w:rPr>
          <w:rFonts w:hint="eastAsia" w:asciiTheme="minorEastAsia" w:hAnsiTheme="minorEastAsia" w:eastAsiaTheme="minorEastAsia" w:cstheme="minorEastAsia"/>
        </w:rPr>
        <w:t>分别降低17.16%、2.62%和13.47%，平均误差分别降低25.10%、19.22%和25.93%，高度阶跃超调由1.691%降至1.525%；本报告的指标与仿真输出由同一次运行生成。本作品的主要工作是对增强模型出现的姿态超限做定量溯源：六组仿真累计220 s飞行中的全部15°超限采样点，都落在参考轨迹不连续时刻之后0.06~0.08 s的窗口内，其余时段无一超限；进一步对照表明参考不连续是触发条件而非充分条件，超限伴随俯仰与横滚两路内环同时饱和及混控层面的作动量集中。据此确认将倾角指令限幅由15°收紧至9.5°的做法无效，应改为限制指令变化率。安全链与编队控制律已接入控制回路并完成重跑：六个接入模型的15°超限累计时长全部为0，而爬升场景的路径RMSE相对增强模型劣化3.74%，超出预注册的3%门槛，该判据未达标，逐条结果见6.5节。本报告同时更正了初赛版本中三处不成立的结论：安全链模块从未接入控制回路、鲁棒性验证所用解析式与控制器无关、编队演示不含控制律。正文中的指标一律取自闭环仿真结果，不以离线后处理数值替代。</w:t>
      </w:r>
      <w:r>
        <w:rPr>
          <w:rFonts w:cs="Times New Roman" w:eastAsiaTheme="minorEastAsia"/>
        </w:rPr>
        <w:t>RMSE</w:t>
      </w:r>
      <w:r>
        <w:rPr>
          <w:rFonts w:hint="eastAsia" w:asciiTheme="minorEastAsia" w:hAnsiTheme="minorEastAsia" w:eastAsiaTheme="minorEastAsia" w:cstheme="minorEastAsia"/>
        </w:rPr>
        <w:t>的具体数值。本报告记录系统数学机理、建模流程、参数配置、结果分析及上述更正，形成一份可逐条复算的四旋翼无人机仿真</w:t>
      </w:r>
    </w:p>
    <w:p w14:paraId="66DD44AB">
      <w:pPr>
        <w:pStyle w:val="3"/>
        <w:ind w:firstLine="0"/>
        <w:rPr>
          <w:rFonts w:hint="eastAsia" w:asciiTheme="majorEastAsia" w:hAnsiTheme="majorEastAsia" w:eastAsiaTheme="majorEastAsia" w:cstheme="majorEastAsia"/>
          <w:b/>
          <w:bCs/>
          <w:sz w:val="44"/>
          <w:szCs w:val="44"/>
        </w:rPr>
      </w:pPr>
      <w:bookmarkStart w:id="6" w:name="_Toc15936"/>
      <w:r>
        <w:rPr>
          <w:rFonts w:hint="eastAsia" w:asciiTheme="majorEastAsia" w:hAnsiTheme="majorEastAsia" w:eastAsiaTheme="majorEastAsia" w:cstheme="majorEastAsia"/>
          <w:b/>
          <w:bCs/>
          <w:sz w:val="44"/>
          <w:szCs w:val="44"/>
        </w:rPr>
        <w:t>2.引言</w:t>
      </w:r>
      <w:bookmarkEnd w:id="6"/>
    </w:p>
    <w:p w14:paraId="51A04C3B">
      <w:pPr>
        <w:spacing w:line="360" w:lineRule="auto"/>
        <w:ind w:firstLine="500"/>
      </w:pPr>
      <w:r>
        <w:t>四旋翼无人机是当前民用与工业航空领域最具代表性的空中作业平台之一，在电力巡检、农业植保、应急救援、航拍测绘等实际任务中发挥着重要作用</w:t>
      </w:r>
      <w:r>
        <w:rPr>
          <w:vertAlign w:val="superscript"/>
        </w:rPr>
        <w:t>[1]</w:t>
      </w:r>
      <w:r>
        <w:t>。轨迹跟踪控制与飞行安全保障是无人机自主导航、定点悬停及多机协同等应用中最基础且最关键的环节，当无人机能够精准跟踪预设航迹并实时规避姿态超限风险时，任务执行质量与飞行安全性均可得到有效保障。</w:t>
      </w:r>
    </w:p>
    <w:p w14:paraId="0D9953CB">
      <w:pPr>
        <w:spacing w:line="360" w:lineRule="auto"/>
        <w:ind w:firstLine="480"/>
      </w:pPr>
      <w:r>
        <w:t>传统的无人机飞行控制系统开发高度依赖物理样机的搭建与反复试飞调试，这种方法存在三方面缺陷：第一，全套硬件采购与试飞场地受限导致研发成本高、迭代周期长；第二，极端工况下的测试可能导致坠机事故，安全隐患与经济损失风险显著；第三，控制算法调整往往涉及固件重新烧录与传感器标定，灵活性较差</w:t>
      </w:r>
      <w:r>
        <w:rPr>
          <w:vertAlign w:val="superscript"/>
        </w:rPr>
        <w:t>[2]</w:t>
      </w:r>
      <w:r>
        <w:t>。因此，在设计早期引入数值仿真手段，通过计算机模型对无人机动态行为进行预演与参数优化，已成为现代无人机系统设计的标准范式。</w:t>
      </w:r>
    </w:p>
    <w:p w14:paraId="4E305CDA">
      <w:pPr>
        <w:spacing w:line="360" w:lineRule="auto"/>
        <w:ind w:firstLine="480"/>
      </w:pPr>
      <w:r>
        <w:t>Modelica作为面向对象的非因果物理建模语言，适合描述包含动力学、控制、导航等多领域耦合的复杂系统</w:t>
      </w:r>
      <w:r>
        <w:rPr>
          <w:vertAlign w:val="superscript"/>
        </w:rPr>
        <w:t>[3]</w:t>
      </w:r>
      <w:r>
        <w:t>。MWORKS Sysplorer作为国产新一代系统建模仿真平台，完整支持Modelica标准库，提供直观的图形化拖拽建模环境与高效的后处理能力，使工程技术人员能够以较低的代码门槛构建可解释性强、复用性高的物理模型</w:t>
      </w:r>
      <w:r>
        <w:rPr>
          <w:vertAlign w:val="superscript"/>
        </w:rPr>
        <w:t>[9]</w:t>
      </w:r>
      <w:r>
        <w:t>。</w:t>
      </w:r>
    </w:p>
    <w:p w14:paraId="3066E353">
      <w:pPr>
        <w:spacing w:line="360" w:lineRule="auto"/>
        <w:ind w:firstLine="480"/>
      </w:pPr>
      <w:r>
        <w:t>在控制算法层面，滑模控制（Sliding Mode Control, SMC）因其对匹配不确定性的不变性特征而在无人机轨迹跟踪中表现出色</w:t>
      </w:r>
      <w:r>
        <w:rPr>
          <w:vertAlign w:val="superscript"/>
        </w:rPr>
        <w:t>[4]</w:t>
      </w:r>
      <w:r>
        <w:t>。近年来，控制障碍函数（Control Barrier Function, CBF）被广泛应用于安全关键系统的约束控制</w:t>
      </w:r>
      <w:r>
        <w:rPr>
          <w:vertAlign w:val="superscript"/>
        </w:rPr>
        <w:t>[5]</w:t>
      </w:r>
      <w:r>
        <w:t>，预设性能控制（Prescribed Performance Control, PPC）为系统跟踪误差提供了可量化的性能边界</w:t>
      </w:r>
      <w:r>
        <w:rPr>
          <w:vertAlign w:val="superscript"/>
        </w:rPr>
        <w:t>[6]</w:t>
      </w:r>
      <w:r>
        <w:t>，显式参考调节器（Explicit Reference Governor, ERG）则通过动态调节参考信号速率确保系统状态始终满足约束条件</w:t>
      </w:r>
      <w:r>
        <w:rPr>
          <w:vertAlign w:val="superscript"/>
        </w:rPr>
        <w:t>[7]</w:t>
      </w:r>
      <w:r>
        <w:t>。将这些技术有机结合，有望实现无人机飞行控制性能与安全性的协同提升。</w:t>
      </w:r>
    </w:p>
    <w:p w14:paraId="762BAF9B">
      <w:pPr>
        <w:spacing w:line="360" w:lineRule="auto"/>
        <w:ind w:firstLine="480"/>
      </w:pPr>
      <w:r>
        <w:t>本文以四旋翼无人机轨迹跟踪控制与安全边界验证为研究对象，基于MWORKS Sysplorer平台建立五层仿真系统，通过replaceable/redeclare语法实现控制器的结构性升级，并集成CBF/PPC/ERG安全链模块。我们针对爬升、螺旋爬升和8字航迹三类典型飞行场景开展对照仿真实验，采集路径RMSE、阶跃超调、姿态超限点数等多维量化指标，并通过蒙特卡洛随机回放验证系统鲁棒性。本文的主要贡献包括：（1）提出基于Modelica语法的控制器结构性替换方案，实现从PID到复合滑模的无缝升级；（2）集成四模块安全链形成多层级防护体系；（3）通过三场景对照实验与180组蒙特卡洛测试全面验证控制性能与安全性提升。</w:t>
      </w:r>
    </w:p>
    <w:p w14:paraId="04FCBFF4">
      <w:pPr>
        <w:pStyle w:val="3"/>
        <w:spacing w:before="180" w:after="90"/>
        <w:ind w:firstLine="0"/>
        <w:rPr>
          <w:rFonts w:hint="eastAsia" w:asciiTheme="majorEastAsia" w:hAnsiTheme="majorEastAsia" w:eastAsiaTheme="majorEastAsia" w:cstheme="majorEastAsia"/>
          <w:sz w:val="44"/>
          <w:szCs w:val="44"/>
        </w:rPr>
      </w:pPr>
      <w:bookmarkStart w:id="7" w:name="_Toc19306"/>
      <w:r>
        <w:rPr>
          <w:rFonts w:hint="eastAsia" w:asciiTheme="majorEastAsia" w:hAnsiTheme="majorEastAsia" w:eastAsiaTheme="majorEastAsia" w:cstheme="majorEastAsia"/>
          <w:b/>
          <w:bCs/>
          <w:sz w:val="44"/>
          <w:szCs w:val="44"/>
        </w:rPr>
        <w:t>3.技术路线与系统设计</w:t>
      </w:r>
      <w:bookmarkEnd w:id="7"/>
    </w:p>
    <w:p w14:paraId="6F5CA3D1">
      <w:pPr>
        <w:pStyle w:val="4"/>
        <w:spacing w:before="120" w:after="60"/>
        <w:ind w:firstLine="0"/>
        <w:rPr>
          <w:rFonts w:hint="eastAsia" w:asciiTheme="majorEastAsia" w:hAnsiTheme="majorEastAsia" w:eastAsiaTheme="majorEastAsia" w:cstheme="majorEastAsia"/>
          <w:sz w:val="36"/>
          <w:szCs w:val="36"/>
        </w:rPr>
      </w:pPr>
      <w:bookmarkStart w:id="8" w:name="_Toc32346"/>
      <w:r>
        <w:rPr>
          <w:rFonts w:hint="eastAsia" w:asciiTheme="majorEastAsia" w:hAnsiTheme="majorEastAsia" w:eastAsiaTheme="majorEastAsia" w:cstheme="majorEastAsia"/>
          <w:b/>
          <w:bCs/>
          <w:sz w:val="36"/>
          <w:szCs w:val="36"/>
        </w:rPr>
        <w:t>3.1 五层架构总体框架</w:t>
      </w:r>
      <w:bookmarkEnd w:id="8"/>
    </w:p>
    <w:p w14:paraId="50058143">
      <w:pPr>
        <w:spacing w:line="360" w:lineRule="auto"/>
        <w:ind w:firstLine="480"/>
      </w:pPr>
      <w:r>
        <w:t>本文所构建的四旋翼无人机仿真系统采用五层分层架构设计，从底层到上层依次为：基础物理模型层、参考轨迹层、控制器层、安全限幅与约束检查层、结果评价层。各层级分工明确且相互解耦，完整模拟无人机实际飞行与控制全过程。</w:t>
      </w:r>
    </w:p>
    <w:p w14:paraId="7E3CB663">
      <w:pPr>
        <w:spacing w:line="360" w:lineRule="auto"/>
        <w:ind w:firstLine="480"/>
      </w:pPr>
      <w:r>
        <w:t>基础物理模型层是整个仿真系统的根基，完整搭载四旋翼无人机的动力学模型与各类传感器变量，精准还原无人机本体结构与动力输出特性。参考轨迹层根据预设的飞行任务（爬升、螺旋爬升、8字航迹），生成对应的期望飞行位置与运动轨迹。控制器层作为核心控制单元，实时比对无人机实际飞行状态与参考轨迹之间的偏差，通过内置控制算法计算控制输出量，调节四个旋翼转速完成轨迹跟踪。安全限幅与约束检查层全程监控无人机飞行姿态与控制输出幅值，一旦出现姿态角超标或控制指令异常等风险情况，及时进行约束与调整。结果评价层在仿真结束后自动统计路径RMSE、响应超调、最大误差、姿态边界超限次数等性能数据，直观反映控制器的实际工作效果。</w:t>
      </w:r>
    </w:p>
    <w:p w14:paraId="7A2DE601">
      <w:pPr>
        <w:pStyle w:val="4"/>
        <w:spacing w:before="120" w:after="60"/>
        <w:ind w:firstLine="0"/>
        <w:rPr>
          <w:rFonts w:hint="eastAsia" w:asciiTheme="majorEastAsia" w:hAnsiTheme="majorEastAsia" w:eastAsiaTheme="majorEastAsia" w:cstheme="majorEastAsia"/>
          <w:sz w:val="36"/>
          <w:szCs w:val="36"/>
        </w:rPr>
      </w:pPr>
      <w:bookmarkStart w:id="9" w:name="_Toc12337"/>
      <w:r>
        <w:rPr>
          <w:rFonts w:hint="eastAsia" w:asciiTheme="majorEastAsia" w:hAnsiTheme="majorEastAsia" w:eastAsiaTheme="majorEastAsia" w:cstheme="majorEastAsia"/>
          <w:b/>
          <w:bCs/>
          <w:sz w:val="36"/>
          <w:szCs w:val="36"/>
        </w:rPr>
        <w:t>3.2 基础模型复用</w:t>
      </w:r>
      <w:bookmarkEnd w:id="9"/>
    </w:p>
    <w:p w14:paraId="4DDD9FE3">
      <w:pPr>
        <w:spacing w:line="360" w:lineRule="auto"/>
        <w:ind w:firstLine="480"/>
      </w:pPr>
      <w:r>
        <w:t>我们的底层模型完全复用MoHub官方QuadrotorModel（model/2355）标准四旋翼模型，不删减、不修改底层动力学方程、传感器模块、执行机构模块及基础接口。使用成熟的官方模型能够规避自主建模带来的底层误差，保证所有仿真实验的物理特性完全统一，使控制器对比实验的结果更加客观、可信。</w:t>
      </w:r>
    </w:p>
    <w:p w14:paraId="4A4B941E">
      <w:pPr>
        <w:spacing w:line="360" w:lineRule="auto"/>
        <w:ind w:firstLine="480"/>
      </w:pPr>
      <w:r>
        <w:t>新建QuadrotorTask.mo作为专用任务封装文件，采用Modelica语言extends继承语法直接关联官方基础模型。结合研究需求，我们划分爬升、螺旋爬升、8字航迹三大典型飞行场景，每个场景分别搭建基线模型与增强模型，总计六组对照模型。六组模型共用同一底层基础模型，仅在控制器结构上做出区分，实现同工况、同条件下的控制算法对比实验。</w:t>
      </w:r>
    </w:p>
    <w:p w14:paraId="507E15C5">
      <w:pPr>
        <w:pStyle w:val="4"/>
        <w:spacing w:before="120" w:after="60"/>
        <w:ind w:firstLine="0"/>
        <w:rPr>
          <w:rFonts w:hint="eastAsia" w:asciiTheme="majorEastAsia" w:hAnsiTheme="majorEastAsia" w:eastAsiaTheme="majorEastAsia" w:cstheme="majorEastAsia"/>
          <w:sz w:val="36"/>
          <w:szCs w:val="36"/>
        </w:rPr>
      </w:pPr>
      <w:bookmarkStart w:id="10" w:name="_Toc27880"/>
      <w:r>
        <w:rPr>
          <w:rFonts w:hint="eastAsia" w:asciiTheme="majorEastAsia" w:hAnsiTheme="majorEastAsia" w:eastAsiaTheme="majorEastAsia" w:cstheme="majorEastAsia"/>
          <w:b/>
          <w:bCs/>
          <w:sz w:val="36"/>
          <w:szCs w:val="36"/>
        </w:rPr>
        <w:t>3.3 控制算法设计</w:t>
      </w:r>
      <w:bookmarkEnd w:id="10"/>
    </w:p>
    <w:p w14:paraId="1015FC5D">
      <w:pPr>
        <w:spacing w:line="360" w:lineRule="auto"/>
        <w:ind w:firstLine="480"/>
      </w:pPr>
      <w:r>
        <w:t>本文的控制算法按两层组织。第一层为基础飞行控制层：基线模型保持原始PID控制器不变；增强模型通过replaceable/redeclare机制接入SlidingModeController，在横向位置外环将原有PID模块替换为HybridPIDSlidingMode复合滑模控制，高度通道与姿态内环仍保留PID结构以保证稳定性。</w:t>
      </w:r>
    </w:p>
    <w:p w14:paraId="367F2E70">
      <w:pPr>
        <w:spacing w:line="360" w:lineRule="auto"/>
        <w:ind w:firstLine="480"/>
      </w:pPr>
      <w:r>
        <w:t>复合滑模控制器的核心思想是在传统PID控制的基础上引入滑模面设计与不连续切换控制律。设横向位置误差为</w:t>
      </w:r>
      <m:oMath>
        <m:r>
          <m:rPr/>
          <w:rPr>
            <w:rFonts w:ascii="Cambria Math" w:hAnsi="Cambria Math"/>
          </w:rPr>
          <m:t>e=</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ref</m:t>
            </m:r>
            <m:ctrlPr>
              <w:rPr>
                <w:rFonts w:ascii="Cambria Math" w:hAnsi="Cambria Math"/>
              </w:rPr>
            </m:ctrlPr>
          </m:sub>
        </m:sSub>
        <m:r>
          <m:rPr/>
          <w:rPr>
            <w:rFonts w:ascii="Cambria Math" w:hAnsi="Cambria Math"/>
          </w:rPr>
          <m:t>−x</m:t>
        </m:r>
      </m:oMath>
      <w:r>
        <w:t>，定义滑模面为：</w:t>
      </w:r>
    </w:p>
    <w:tbl>
      <w:tblPr>
        <w:tblStyle w:val="15"/>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403"/>
        <w:gridCol w:w="1100"/>
      </w:tblGrid>
      <w:tr w14:paraId="5324985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4825506F"/>
        </w:tc>
        <w:tc>
          <w:tcPr>
            <w:tcW w:w="7403" w:type="dxa"/>
            <w:tcBorders>
              <w:top w:val="nil"/>
              <w:left w:val="nil"/>
              <w:bottom w:val="nil"/>
              <w:right w:val="nil"/>
            </w:tcBorders>
            <w:vAlign w:val="center"/>
          </w:tcPr>
          <w:p w14:paraId="5A8B92AE">
            <w:pPr>
              <w:jc w:val="center"/>
            </w:pPr>
            <m:oMathPara>
              <m:oMath>
                <m:r>
                  <m:rPr/>
                  <w:rPr>
                    <w:rFonts w:ascii="Cambria Math" w:hAnsi="Cambria Math"/>
                  </w:rPr>
                  <m:t>s=e˙+λe</m:t>
                </m:r>
              </m:oMath>
            </m:oMathPara>
          </w:p>
        </w:tc>
        <w:tc>
          <w:tcPr>
            <w:tcW w:w="1100" w:type="dxa"/>
            <w:tcBorders>
              <w:top w:val="nil"/>
              <w:left w:val="nil"/>
              <w:bottom w:val="nil"/>
              <w:right w:val="nil"/>
            </w:tcBorders>
            <w:vAlign w:val="center"/>
          </w:tcPr>
          <w:p w14:paraId="37870DAE">
            <w:pPr>
              <w:jc w:val="right"/>
            </w:pPr>
            <w:r>
              <w:t>(1)</w:t>
            </w:r>
          </w:p>
        </w:tc>
      </w:tr>
    </w:tbl>
    <w:p w14:paraId="3DF50A10">
      <w:pPr>
        <w:spacing w:line="360" w:lineRule="auto"/>
        <w:ind w:firstLine="480"/>
      </w:pPr>
      <w:r>
        <w:t>其中</w:t>
      </w:r>
      <m:oMath>
        <m:r>
          <m:rPr/>
          <w:rPr>
            <w:rFonts w:ascii="Cambria Math" w:hAnsi="Cambria Math"/>
          </w:rPr>
          <m:t>λ&gt;0</m:t>
        </m:r>
      </m:oMath>
      <w:r>
        <w:t>为滑模面参数。复合控制律由等效控制与切换控制两部分组成：</w:t>
      </w:r>
    </w:p>
    <w:tbl>
      <w:tblPr>
        <w:tblStyle w:val="15"/>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403"/>
        <w:gridCol w:w="1100"/>
      </w:tblGrid>
      <w:tr w14:paraId="28FA470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7C8FD416"/>
        </w:tc>
        <w:tc>
          <w:tcPr>
            <w:tcW w:w="7403" w:type="dxa"/>
            <w:tcBorders>
              <w:top w:val="nil"/>
              <w:left w:val="nil"/>
              <w:bottom w:val="nil"/>
              <w:right w:val="nil"/>
            </w:tcBorders>
            <w:vAlign w:val="center"/>
          </w:tcPr>
          <w:p w14:paraId="34C84CC0">
            <w:pPr>
              <w:jc w:val="center"/>
            </w:pPr>
            <m:oMathPara>
              <m:oMath>
                <m:r>
                  <m:rPr/>
                  <w:rPr>
                    <w:rFonts w:ascii="Cambria Math" w:hAnsi="Cambria Math"/>
                  </w:rPr>
                  <m:t>u=</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eq</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sw</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e+</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∫edt+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d</m:t>
                    </m:r>
                    <m:ctrlPr>
                      <w:rPr>
                        <w:rFonts w:ascii="Cambria Math" w:hAnsi="Cambria Math"/>
                      </w:rPr>
                    </m:ctrlPr>
                  </m:sub>
                </m:sSub>
                <m:r>
                  <m:rPr/>
                  <w:rPr>
                    <w:rFonts w:ascii="Cambria Math" w:hAnsi="Cambria Math"/>
                  </w:rPr>
                  <m:t>e˙+η⋅sgn(s)</m:t>
                </m:r>
              </m:oMath>
            </m:oMathPara>
          </w:p>
        </w:tc>
        <w:tc>
          <w:tcPr>
            <w:tcW w:w="1100" w:type="dxa"/>
            <w:tcBorders>
              <w:top w:val="nil"/>
              <w:left w:val="nil"/>
              <w:bottom w:val="nil"/>
              <w:right w:val="nil"/>
            </w:tcBorders>
            <w:vAlign w:val="center"/>
          </w:tcPr>
          <w:p w14:paraId="033525DD">
            <w:pPr>
              <w:jc w:val="right"/>
            </w:pPr>
            <w:r>
              <w:t>(2)</w:t>
            </w:r>
          </w:p>
        </w:tc>
      </w:tr>
    </w:tbl>
    <w:p w14:paraId="2483DD25">
      <w:pPr>
        <w:spacing w:line="360" w:lineRule="auto"/>
        <w:ind w:firstLine="480"/>
      </w:pPr>
      <w:r>
        <w:t>其中</w:t>
      </w:r>
      <m:oMath>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d</m:t>
            </m:r>
            <m:ctrlPr>
              <w:rPr>
                <w:rFonts w:ascii="Cambria Math" w:hAnsi="Cambria Math"/>
              </w:rPr>
            </m:ctrlPr>
          </m:sub>
        </m:sSub>
      </m:oMath>
      <w:r>
        <w:t>为PID增益参数，</w:t>
      </w:r>
      <m:oMath>
        <m:r>
          <m:rPr/>
          <w:rPr>
            <w:rFonts w:ascii="Cambria Math" w:hAnsi="Cambria Math"/>
          </w:rPr>
          <m:t>η&gt;0</m:t>
        </m:r>
      </m:oMath>
      <w:r>
        <w:t>为切换增益。该复合结构在保留PID良好稳态性能的同时，通过滑模项增强了对不确定性扰动的鲁棒性</w:t>
      </w:r>
      <w:r>
        <w:rPr>
          <w:vertAlign w:val="superscript"/>
        </w:rPr>
        <w:t>[4]</w:t>
      </w:r>
      <w:r>
        <w:t>。</w:t>
      </w:r>
    </w:p>
    <w:p w14:paraId="71C799BF">
      <w:pPr>
        <w:spacing w:line="360" w:lineRule="auto"/>
        <w:ind w:firstLine="480"/>
      </w:pPr>
      <w:r>
        <w:t>在参数选择方面，滑模面参数</w:t>
      </w:r>
      <m:oMath>
        <m:r>
          <m:rPr/>
          <w:rPr>
            <w:rFonts w:ascii="Cambria Math" w:hAnsi="Cambria Math"/>
          </w:rPr>
          <m:t>λ</m:t>
        </m:r>
      </m:oMath>
      <w:r>
        <w:t>决定了系统到达滑模面后的收敛速度，取值过大会加剧抖振，过小则收敛过慢。我们根据系统带宽要求选取</w:t>
      </w:r>
      <m:oMath>
        <m:r>
          <m:rPr/>
          <w:rPr>
            <w:rFonts w:ascii="Cambria Math" w:hAnsi="Cambria Math"/>
          </w:rPr>
          <m:t>λ</m:t>
        </m:r>
      </m:oMath>
      <w:r>
        <w:t>使其与系统固有频率匹配。切换增益</w:t>
      </w:r>
      <m:oMath>
        <m:r>
          <m:rPr/>
          <w:rPr>
            <w:rFonts w:ascii="Cambria Math" w:hAnsi="Cambria Math"/>
          </w:rPr>
          <m:t>η</m:t>
        </m:r>
      </m:oMath>
      <w:r>
        <w:t>需大于系统不确定性上界以保证到达条件</w:t>
      </w:r>
      <m:oMath>
        <m:r>
          <m:rPr/>
          <w:rPr>
            <w:rFonts w:ascii="Cambria Math" w:hAnsi="Cambria Math"/>
          </w:rPr>
          <m:t>ss˙&lt;0</m:t>
        </m:r>
      </m:oMath>
      <w:r>
        <w:t>成立——具体而言，设系统不确定性扰动上界为</w:t>
      </w:r>
      <m:oMath>
        <m:r>
          <m:rPr/>
          <w:rPr>
            <w:rFonts w:ascii="Cambria Math" w:hAnsi="Cambria Math"/>
          </w:rPr>
          <m:t>|d|≤D</m:t>
        </m:r>
      </m:oMath>
      <w:r>
        <w:t>，当</w:t>
      </w:r>
      <m:oMath>
        <m:r>
          <m:rPr/>
          <w:rPr>
            <w:rFonts w:ascii="Cambria Math" w:hAnsi="Cambria Math"/>
          </w:rPr>
          <m:t>η&gt;D</m:t>
        </m:r>
      </m:oMath>
      <w:r>
        <w:t>时，可推导得</w:t>
      </w:r>
      <m:oMath>
        <m:r>
          <m:rPr/>
          <w:rPr>
            <w:rFonts w:ascii="Cambria Math" w:hAnsi="Cambria Math"/>
          </w:rPr>
          <m:t>ss˙≤−(η−D)|s|&lt;0</m:t>
        </m:r>
      </m:oMath>
      <w:r>
        <w:t>，从而保证系统状态在有限时间内到达滑模面。但过大的</w:t>
      </w:r>
      <m:oMath>
        <m:r>
          <m:rPr/>
          <w:rPr>
            <w:rFonts w:ascii="Cambria Math" w:hAnsi="Cambria Math"/>
          </w:rPr>
          <m:t>η</m:t>
        </m:r>
      </m:oMath>
      <w:r>
        <w:t>会引起控制信号高频抖振。为缓解抖振问题，实际实现中采用饱和函数</w:t>
      </w:r>
      <m:oMath>
        <m:r>
          <m:rPr/>
          <w:rPr>
            <w:rFonts w:ascii="Cambria Math" w:hAnsi="Cambria Math"/>
          </w:rPr>
          <m:t>sat(s/ϕ)</m:t>
        </m:r>
      </m:oMath>
      <w:r>
        <w:t>替代理想符号函数</w:t>
      </w:r>
      <m:oMath>
        <m:r>
          <m:rPr/>
          <w:rPr>
            <w:rFonts w:ascii="Cambria Math" w:hAnsi="Cambria Math"/>
          </w:rPr>
          <m:t>sgn(s)</m:t>
        </m:r>
      </m:oMath>
      <w:r>
        <w:t>，其中</w:t>
      </w:r>
      <m:oMath>
        <m:r>
          <m:rPr/>
          <w:rPr>
            <w:rFonts w:ascii="Cambria Math" w:hAnsi="Cambria Math"/>
          </w:rPr>
          <m:t>ϕ&gt;0</m:t>
        </m:r>
      </m:oMath>
      <w:r>
        <w:t>为边界层厚度参数，在边界层内控制律平滑过渡，有效抑制了执行机构的高频振荡</w:t>
      </w:r>
      <w:r>
        <w:rPr>
          <w:vertAlign w:val="superscript"/>
        </w:rPr>
        <w:t>[4]</w:t>
      </w:r>
      <w:r>
        <w:t>。当系统状态进入滑模面邻域</w:t>
      </w:r>
      <m:oMath>
        <m:r>
          <m:rPr/>
          <w:rPr>
            <w:rFonts w:ascii="Cambria Math" w:hAnsi="Cambria Math"/>
          </w:rPr>
          <m:t>|s|&lt;ϕ</m:t>
        </m:r>
      </m:oMath>
      <w:r>
        <w:t>后，控制输入等效为高增益比例控制，保证了稳态精度与系统平稳性的兼顾。</w:t>
      </w:r>
    </w:p>
    <w:p w14:paraId="11623544">
      <w:pPr>
        <w:spacing w:line="360" w:lineRule="auto"/>
        <w:ind w:firstLine="480"/>
      </w:pPr>
      <w:r>
        <w:t>在Modelica模型内部，我们通过redeclare语法完成了控制器的结构级替换，使增强任务模型直接调用SlidingModeController模块。就实际参数配置而言，滑模切换项的权重是有限的：切换增益kSwitch=0.1，而位置环输出限幅uMax=2.1，切换项对输出的贡献上限约为4.8%。因此增强模型相对基线的性能变化，主要来自横向外环增益（KP由1.5增至2.0、KD由1.0增至1.35）与姿态内环增益（KP由14.142增至17.0、KD由1.414增至2.05）的调整；滑模项的作用是在此基础上补充对匹配不确定性的鲁棒性，而非精度改善的主要来源。</w:t>
      </w:r>
    </w:p>
    <w:p w14:paraId="7FA2355C">
      <w:pPr>
        <w:pStyle w:val="4"/>
        <w:spacing w:before="120" w:after="60"/>
        <w:ind w:firstLine="0"/>
        <w:rPr>
          <w:rFonts w:hint="eastAsia" w:asciiTheme="majorEastAsia" w:hAnsiTheme="majorEastAsia" w:eastAsiaTheme="majorEastAsia" w:cstheme="majorEastAsia"/>
          <w:sz w:val="36"/>
          <w:szCs w:val="36"/>
        </w:rPr>
      </w:pPr>
      <w:bookmarkStart w:id="11" w:name="_Toc27007"/>
      <w:r>
        <w:rPr>
          <w:rFonts w:hint="eastAsia" w:asciiTheme="majorEastAsia" w:hAnsiTheme="majorEastAsia" w:eastAsiaTheme="majorEastAsia" w:cstheme="majorEastAsia"/>
          <w:b/>
          <w:bCs/>
          <w:sz w:val="36"/>
          <w:szCs w:val="36"/>
        </w:rPr>
        <w:t>3.4 CBF/PPC/ERG安全链设计</w:t>
      </w:r>
      <w:bookmarkEnd w:id="11"/>
    </w:p>
    <w:p w14:paraId="0CE60B74">
      <w:pPr>
        <w:spacing w:line="360" w:lineRule="auto"/>
        <w:ind w:firstLine="480"/>
      </w:pPr>
      <w:r>
        <w:t>第二层为高级安全控制层，在AdvancedSafetyControl.mo中定义了四类安全控制功能模块：</w:t>
      </w:r>
    </w:p>
    <w:p w14:paraId="70520C86">
      <w:pPr>
        <w:spacing w:line="360" w:lineRule="auto"/>
        <w:ind w:firstLine="480"/>
      </w:pPr>
      <w:r>
        <w:t>CBF安全投影模块：基于控制障碍函数理论</w:t>
      </w:r>
      <w:r>
        <w:rPr>
          <w:vertAlign w:val="superscript"/>
        </w:rPr>
        <w:t>[5]</w:t>
      </w:r>
      <w:r>
        <w:t>，定义安全集合</w:t>
      </w:r>
      <m:oMath>
        <m:r>
          <m:rPr>
            <m:scr m:val="script"/>
          </m:rPr>
          <w:rPr>
            <w:rFonts w:ascii="Cambria Math" w:hAnsi="Cambria Math"/>
          </w:rPr>
          <m:t>C={</m:t>
        </m:r>
        <m:r>
          <m:rPr/>
          <w:rPr>
            <w:rFonts w:ascii="Cambria Math" w:hAnsi="Cambria Math"/>
          </w:rPr>
          <m:t>x:h(x)≥0}</m:t>
        </m:r>
      </m:oMath>
      <w:r>
        <w:t>，当系统状态趋近安全边界时，通过求解二次规划问题对控制输入进行最小修正，确保系统状态始终维持在安全集合内部。对于姿态角约束，我们设定安全函数为：</w:t>
      </w:r>
    </w:p>
    <w:tbl>
      <w:tblPr>
        <w:tblStyle w:val="15"/>
        <w:tblW w:w="907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67"/>
        <w:gridCol w:w="7403"/>
        <w:gridCol w:w="1100"/>
      </w:tblGrid>
      <w:tr w14:paraId="1D14AD9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67" w:type="dxa"/>
            <w:tcBorders>
              <w:top w:val="nil"/>
              <w:left w:val="nil"/>
              <w:bottom w:val="nil"/>
              <w:right w:val="nil"/>
            </w:tcBorders>
            <w:vAlign w:val="center"/>
          </w:tcPr>
          <w:p w14:paraId="16B7510A"/>
        </w:tc>
        <w:tc>
          <w:tcPr>
            <w:tcW w:w="7403" w:type="dxa"/>
            <w:tcBorders>
              <w:top w:val="nil"/>
              <w:left w:val="nil"/>
              <w:bottom w:val="nil"/>
              <w:right w:val="nil"/>
            </w:tcBorders>
            <w:vAlign w:val="center"/>
          </w:tcPr>
          <w:p w14:paraId="11ACB6E4">
            <w:pPr>
              <w:jc w:val="center"/>
            </w:pPr>
            <m:oMathPara>
              <m:oMath>
                <m:r>
                  <m:rPr/>
                  <w:rPr>
                    <w:rFonts w:ascii="Cambria Math" w:hAnsi="Cambria Math"/>
                  </w:rPr>
                  <m:t>h(θ)=</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max</m:t>
                    </m:r>
                    <m:ctrlPr>
                      <w:rPr>
                        <w:rFonts w:ascii="Cambria Math" w:hAnsi="Cambria Math"/>
                      </w:rPr>
                    </m:ctrlPr>
                  </m:sub>
                </m:sSub>
                <m:r>
                  <m:rPr/>
                  <w:rPr>
                    <w:rFonts w:ascii="Cambria Math" w:hAnsi="Cambria Math"/>
                  </w:rPr>
                  <m:t>−|θ|</m:t>
                </m:r>
              </m:oMath>
            </m:oMathPara>
          </w:p>
        </w:tc>
        <w:tc>
          <w:tcPr>
            <w:tcW w:w="1100" w:type="dxa"/>
            <w:tcBorders>
              <w:top w:val="nil"/>
              <w:left w:val="nil"/>
              <w:bottom w:val="nil"/>
              <w:right w:val="nil"/>
            </w:tcBorders>
            <w:vAlign w:val="center"/>
          </w:tcPr>
          <w:p w14:paraId="29F0FC88">
            <w:pPr>
              <w:jc w:val="right"/>
            </w:pPr>
            <w:r>
              <w:t>(3)</w:t>
            </w:r>
          </w:p>
        </w:tc>
      </w:tr>
    </w:tbl>
    <w:p w14:paraId="3D5579CA">
      <w:pPr>
        <w:spacing w:line="360" w:lineRule="auto"/>
        <w:ind w:firstLine="480"/>
      </w:pPr>
      <w:r>
        <w:t>其中</w:t>
      </w:r>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max</m:t>
            </m:r>
            <m:ctrlPr>
              <w:rPr>
                <w:rFonts w:ascii="Cambria Math" w:hAnsi="Cambria Math"/>
              </w:rPr>
            </m:ctrlPr>
          </m:sub>
        </m:sSub>
        <m:r>
          <m:rPr/>
          <w:rPr>
            <w:rFonts w:ascii="Cambria Math" w:hAnsi="Cambria Math"/>
          </w:rPr>
          <m:t>=15°</m:t>
        </m:r>
      </m:oMath>
      <w:r>
        <w:t>为姿态安全阈值。</w:t>
      </w:r>
    </w:p>
    <w:p w14:paraId="132E09BC">
      <w:pPr>
        <w:spacing w:line="360" w:lineRule="auto"/>
        <w:ind w:firstLine="480"/>
      </w:pPr>
      <w:r>
        <w:t>PPC误差包络模块：基于预设性能控制理论</w:t>
      </w:r>
      <w:r>
        <w:rPr>
          <w:vertAlign w:val="superscript"/>
        </w:rPr>
        <w:t>[6]</w:t>
      </w:r>
      <w:r>
        <w:t>，为轨迹跟踪误差设定时变性能边界函数</w:t>
      </w:r>
      <m:oMath>
        <m:r>
          <m:rPr/>
          <w:rPr>
            <w:rFonts w:ascii="Cambria Math" w:hAnsi="Cambria Math"/>
          </w:rPr>
          <m:t>ρ(t)</m:t>
        </m:r>
      </m:oMath>
      <w:r>
        <w:t>，保证误差</w:t>
      </w:r>
      <m:oMath>
        <m:r>
          <m:rPr/>
          <w:rPr>
            <w:rFonts w:ascii="Cambria Math" w:hAnsi="Cambria Math"/>
          </w:rPr>
          <m:t>e(t)</m:t>
        </m:r>
      </m:oMath>
      <w:r>
        <w:t>始终满足</w:t>
      </w:r>
      <m:oMath>
        <m:r>
          <m:rPr/>
          <w:rPr>
            <w:rFonts w:ascii="Cambria Math" w:hAnsi="Cambria Math"/>
          </w:rPr>
          <m:t>|e(t)|&lt;ρ(t)</m:t>
        </m:r>
      </m:oMath>
      <w:r>
        <w:t>，从而约束暂态和稳态误差在预设范围内。</w:t>
      </w:r>
    </w:p>
    <w:p w14:paraId="6838327B">
      <w:pPr>
        <w:spacing w:line="360" w:lineRule="auto"/>
        <w:ind w:firstLine="480"/>
      </w:pPr>
      <w:r>
        <w:t>ERG显式参考调节器：基于参考调节器理论</w:t>
      </w:r>
      <w:r>
        <w:rPr>
          <w:vertAlign w:val="superscript"/>
        </w:rPr>
        <w:t>[7][10]</w:t>
      </w:r>
      <w:r>
        <w:t>，根据实时飞行状态动态调节参考轨迹的推进速率。当检测到系统状态接近约束边界时，ERG主动降低参考信号变化速率，避免系统因跟踪过快的参考信号而违反约束。</w:t>
      </w:r>
    </w:p>
    <w:p w14:paraId="4EF599EF">
      <w:pPr>
        <w:spacing w:line="360" w:lineRule="auto"/>
        <w:ind w:firstLine="480"/>
      </w:pPr>
      <w:r>
        <w:t>姿态风险预警模块：基于时序数据分析，以0.5s为窗口提前识别姿态角趋势异常，输出预警信号实现事前风险防控。</w:t>
      </w:r>
    </w:p>
    <w:p w14:paraId="3F1F4C54">
      <w:pPr>
        <w:spacing w:line="360" w:lineRule="auto"/>
        <w:ind w:firstLine="480"/>
      </w:pPr>
      <w:r>
        <w:t>需要如实说明模块的实现状态：上述四个模块在本作品初赛提交的模型中仅完成了block定义，在QuadrotorTask.mo与AdvancedSafetyControl.mo的全部模型中均未被实例化，也不存在任何connect语句，因此并未进入控制回路；其中AdvancedClimbSafetyDemo仅继承ClimbEnhanced，未附加任何安全模块。初赛版本中与安全链相关的效果数据，均由离线脚本在已有仿真输出上事后处理得到，不代表模型的闭环行为。本次改版已将显式参考调节器与姿态控制障碍函数真正接入控制回路，接入方式、参数标定依据与验证结果见第6.5节。</w:t>
      </w:r>
    </w:p>
    <w:p w14:paraId="2EBFF893">
      <w:pPr>
        <w:pStyle w:val="4"/>
        <w:spacing w:before="120" w:after="60"/>
        <w:ind w:firstLine="0"/>
        <w:rPr>
          <w:rFonts w:hint="eastAsia" w:asciiTheme="majorEastAsia" w:hAnsiTheme="majorEastAsia" w:eastAsiaTheme="majorEastAsia" w:cstheme="majorEastAsia"/>
          <w:sz w:val="36"/>
          <w:szCs w:val="36"/>
        </w:rPr>
      </w:pPr>
      <w:bookmarkStart w:id="12" w:name="_Toc7986"/>
      <w:r>
        <w:rPr>
          <w:rFonts w:hint="eastAsia" w:asciiTheme="majorEastAsia" w:hAnsiTheme="majorEastAsia" w:eastAsiaTheme="majorEastAsia" w:cstheme="majorEastAsia"/>
          <w:b/>
          <w:bCs/>
          <w:sz w:val="36"/>
          <w:szCs w:val="36"/>
        </w:rPr>
        <w:t>3.5 仿真参数配置</w:t>
      </w:r>
      <w:bookmarkEnd w:id="12"/>
    </w:p>
    <w:p w14:paraId="15AFF2E0">
      <w:pPr>
        <w:spacing w:line="360" w:lineRule="auto"/>
        <w:ind w:firstLine="480"/>
      </w:pPr>
      <w:r>
        <w:t>为保证实验条件的一致性与结果的可复现性，本文所有仿真统一使用以下标准参数配置：</w:t>
      </w:r>
    </w:p>
    <w:tbl>
      <w:tblPr>
        <w:tblStyle w:val="15"/>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35"/>
        <w:gridCol w:w="4535"/>
      </w:tblGrid>
      <w:tr w14:paraId="7B18E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A053C31">
            <w:pPr>
              <w:jc w:val="center"/>
            </w:pPr>
            <w:r>
              <w:rPr>
                <w:b/>
                <w:bCs/>
                <w:sz w:val="21"/>
                <w:szCs w:val="21"/>
              </w:rPr>
              <w:t>参数</w:t>
            </w:r>
          </w:p>
        </w:tc>
        <w:tc>
          <w:tcPr>
            <w:tcW w:w="453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5E2DBD9">
            <w:pPr>
              <w:jc w:val="center"/>
            </w:pPr>
            <w:r>
              <w:rPr>
                <w:b/>
                <w:bCs/>
                <w:sz w:val="21"/>
                <w:szCs w:val="21"/>
              </w:rPr>
              <w:t>值</w:t>
            </w:r>
          </w:p>
        </w:tc>
      </w:tr>
      <w:tr w14:paraId="4BDCB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059F39F4">
            <w:pPr>
              <w:jc w:val="center"/>
            </w:pPr>
            <w:r>
              <w:rPr>
                <w:sz w:val="21"/>
                <w:szCs w:val="21"/>
              </w:rPr>
              <w:t>求解算法</w:t>
            </w:r>
          </w:p>
        </w:tc>
        <w:tc>
          <w:tcPr>
            <w:tcW w:w="4535" w:type="dxa"/>
            <w:tcBorders>
              <w:top w:val="nil"/>
              <w:left w:val="nil"/>
              <w:bottom w:val="nil"/>
              <w:right w:val="nil"/>
            </w:tcBorders>
            <w:shd w:val="clear" w:color="auto" w:fill="FFFFFF"/>
            <w:tcMar>
              <w:top w:w="80" w:type="dxa"/>
              <w:left w:w="120" w:type="dxa"/>
              <w:bottom w:w="80" w:type="dxa"/>
              <w:right w:w="120" w:type="dxa"/>
            </w:tcMar>
          </w:tcPr>
          <w:p w14:paraId="487F0481">
            <w:pPr>
              <w:jc w:val="center"/>
            </w:pPr>
            <w:r>
              <w:rPr>
                <w:sz w:val="21"/>
                <w:szCs w:val="21"/>
              </w:rPr>
              <w:t>Dassl</w:t>
            </w:r>
          </w:p>
        </w:tc>
      </w:tr>
      <w:tr w14:paraId="5878A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6CA22ACF">
            <w:pPr>
              <w:jc w:val="center"/>
            </w:pPr>
            <w:r>
              <w:rPr>
                <w:sz w:val="21"/>
                <w:szCs w:val="21"/>
              </w:rPr>
              <w:t>爬升/螺旋爬升仿真时长</w:t>
            </w:r>
          </w:p>
        </w:tc>
        <w:tc>
          <w:tcPr>
            <w:tcW w:w="4535" w:type="dxa"/>
            <w:tcBorders>
              <w:top w:val="nil"/>
              <w:left w:val="nil"/>
              <w:bottom w:val="nil"/>
              <w:right w:val="nil"/>
            </w:tcBorders>
            <w:shd w:val="clear" w:color="auto" w:fill="FFFFFF"/>
            <w:tcMar>
              <w:top w:w="80" w:type="dxa"/>
              <w:left w:w="120" w:type="dxa"/>
              <w:bottom w:w="80" w:type="dxa"/>
              <w:right w:w="120" w:type="dxa"/>
            </w:tcMar>
          </w:tcPr>
          <w:p w14:paraId="24512802">
            <w:pPr>
              <w:jc w:val="center"/>
            </w:pPr>
            <w:r>
              <w:rPr>
                <w:sz w:val="21"/>
                <w:szCs w:val="21"/>
              </w:rPr>
              <w:t>0~50 s</w:t>
            </w:r>
          </w:p>
        </w:tc>
      </w:tr>
      <w:tr w14:paraId="69898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26F6578F">
            <w:pPr>
              <w:jc w:val="center"/>
            </w:pPr>
            <w:r>
              <w:rPr>
                <w:sz w:val="21"/>
                <w:szCs w:val="21"/>
              </w:rPr>
              <w:t>8字航迹仿真时长</w:t>
            </w:r>
          </w:p>
        </w:tc>
        <w:tc>
          <w:tcPr>
            <w:tcW w:w="4535" w:type="dxa"/>
            <w:tcBorders>
              <w:top w:val="nil"/>
              <w:left w:val="nil"/>
              <w:bottom w:val="nil"/>
              <w:right w:val="nil"/>
            </w:tcBorders>
            <w:shd w:val="clear" w:color="auto" w:fill="FFFFFF"/>
            <w:tcMar>
              <w:top w:w="80" w:type="dxa"/>
              <w:left w:w="120" w:type="dxa"/>
              <w:bottom w:w="80" w:type="dxa"/>
              <w:right w:w="120" w:type="dxa"/>
            </w:tcMar>
          </w:tcPr>
          <w:p w14:paraId="5389D3A7">
            <w:pPr>
              <w:jc w:val="center"/>
            </w:pPr>
            <w:r>
              <w:rPr>
                <w:sz w:val="21"/>
                <w:szCs w:val="21"/>
              </w:rPr>
              <w:t>0~120 s</w:t>
            </w:r>
          </w:p>
        </w:tc>
      </w:tr>
      <w:tr w14:paraId="417BC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5CAD318F">
            <w:pPr>
              <w:jc w:val="center"/>
            </w:pPr>
            <w:r>
              <w:rPr>
                <w:sz w:val="21"/>
                <w:szCs w:val="21"/>
              </w:rPr>
              <w:t>采样间隔</w:t>
            </w:r>
          </w:p>
        </w:tc>
        <w:tc>
          <w:tcPr>
            <w:tcW w:w="4535" w:type="dxa"/>
            <w:tcBorders>
              <w:top w:val="nil"/>
              <w:left w:val="nil"/>
              <w:bottom w:val="nil"/>
              <w:right w:val="nil"/>
            </w:tcBorders>
            <w:shd w:val="clear" w:color="auto" w:fill="FFFFFF"/>
            <w:tcMar>
              <w:top w:w="80" w:type="dxa"/>
              <w:left w:w="120" w:type="dxa"/>
              <w:bottom w:w="80" w:type="dxa"/>
              <w:right w:w="120" w:type="dxa"/>
            </w:tcMar>
          </w:tcPr>
          <w:p w14:paraId="7B533095">
            <w:pPr>
              <w:jc w:val="center"/>
            </w:pPr>
            <w:r>
              <w:rPr>
                <w:sz w:val="21"/>
                <w:szCs w:val="21"/>
              </w:rPr>
              <w:t>0.01 s</w:t>
            </w:r>
          </w:p>
        </w:tc>
      </w:tr>
      <w:tr w14:paraId="34241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452A76FD">
            <w:pPr>
              <w:jc w:val="center"/>
            </w:pPr>
            <w:r>
              <w:rPr>
                <w:sz w:val="21"/>
                <w:szCs w:val="21"/>
              </w:rPr>
              <w:t>计算容差</w:t>
            </w:r>
          </w:p>
        </w:tc>
        <w:tc>
          <w:tcPr>
            <w:tcW w:w="4535" w:type="dxa"/>
            <w:tcBorders>
              <w:top w:val="nil"/>
              <w:left w:val="nil"/>
              <w:bottom w:val="nil"/>
              <w:right w:val="nil"/>
            </w:tcBorders>
            <w:shd w:val="clear" w:color="auto" w:fill="FFFFFF"/>
            <w:tcMar>
              <w:top w:w="80" w:type="dxa"/>
              <w:left w:w="120" w:type="dxa"/>
              <w:bottom w:w="80" w:type="dxa"/>
              <w:right w:w="120" w:type="dxa"/>
            </w:tcMar>
          </w:tcPr>
          <w:p w14:paraId="09238EA5">
            <w:pPr>
              <w:jc w:val="center"/>
            </w:pPr>
            <w:r>
              <w:rPr>
                <w:sz w:val="21"/>
                <w:szCs w:val="21"/>
              </w:rPr>
              <w:t>0.0001</w:t>
            </w:r>
          </w:p>
        </w:tc>
      </w:tr>
      <w:tr w14:paraId="6A491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6755D281">
            <w:pPr>
              <w:jc w:val="center"/>
            </w:pPr>
            <w:r>
              <w:rPr>
                <w:sz w:val="21"/>
                <w:szCs w:val="21"/>
              </w:rPr>
              <w:t>姿态安全阈值</w:t>
            </w:r>
          </w:p>
        </w:tc>
        <w:tc>
          <w:tcPr>
            <w:tcW w:w="4535" w:type="dxa"/>
            <w:tcBorders>
              <w:top w:val="nil"/>
              <w:left w:val="nil"/>
              <w:bottom w:val="nil"/>
              <w:right w:val="nil"/>
            </w:tcBorders>
            <w:shd w:val="clear" w:color="auto" w:fill="FFFFFF"/>
            <w:tcMar>
              <w:top w:w="80" w:type="dxa"/>
              <w:left w:w="120" w:type="dxa"/>
              <w:bottom w:w="80" w:type="dxa"/>
              <w:right w:w="120" w:type="dxa"/>
            </w:tcMar>
          </w:tcPr>
          <w:p w14:paraId="627980A5">
            <w:pPr>
              <w:jc w:val="center"/>
            </w:pPr>
            <w:r>
              <w:rPr>
                <w:sz w:val="21"/>
                <w:szCs w:val="21"/>
              </w:rPr>
              <w:t>15°</w:t>
            </w:r>
          </w:p>
        </w:tc>
      </w:tr>
      <w:tr w14:paraId="74297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10C50E9E">
            <w:pPr>
              <w:jc w:val="center"/>
            </w:pPr>
            <w:r>
              <w:rPr>
                <w:sz w:val="21"/>
                <w:szCs w:val="21"/>
              </w:rPr>
              <w:t>仿真平台</w:t>
            </w:r>
          </w:p>
        </w:tc>
        <w:tc>
          <w:tcPr>
            <w:tcW w:w="4535" w:type="dxa"/>
            <w:tcBorders>
              <w:top w:val="nil"/>
              <w:left w:val="nil"/>
              <w:bottom w:val="nil"/>
              <w:right w:val="nil"/>
            </w:tcBorders>
            <w:shd w:val="clear" w:color="auto" w:fill="FFFFFF"/>
            <w:tcMar>
              <w:top w:w="80" w:type="dxa"/>
              <w:left w:w="120" w:type="dxa"/>
              <w:bottom w:w="80" w:type="dxa"/>
              <w:right w:w="120" w:type="dxa"/>
            </w:tcMar>
          </w:tcPr>
          <w:p w14:paraId="72CE6C9B">
            <w:pPr>
              <w:jc w:val="center"/>
            </w:pPr>
            <w:r>
              <w:rPr>
                <w:sz w:val="21"/>
                <w:szCs w:val="21"/>
              </w:rPr>
              <w:t>MWORKS Sysplorer 2026a</w:t>
            </w:r>
          </w:p>
        </w:tc>
      </w:tr>
      <w:tr w14:paraId="1AED8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nil"/>
              <w:right w:val="nil"/>
            </w:tcBorders>
            <w:shd w:val="clear" w:color="auto" w:fill="FFFFFF"/>
            <w:tcMar>
              <w:top w:w="80" w:type="dxa"/>
              <w:left w:w="120" w:type="dxa"/>
              <w:bottom w:w="80" w:type="dxa"/>
              <w:right w:w="120" w:type="dxa"/>
            </w:tcMar>
          </w:tcPr>
          <w:p w14:paraId="752497CD">
            <w:pPr>
              <w:jc w:val="center"/>
            </w:pPr>
            <w:r>
              <w:rPr>
                <w:sz w:val="21"/>
                <w:szCs w:val="21"/>
              </w:rPr>
              <w:t>建模语言</w:t>
            </w:r>
          </w:p>
        </w:tc>
        <w:tc>
          <w:tcPr>
            <w:tcW w:w="4535" w:type="dxa"/>
            <w:tcBorders>
              <w:top w:val="nil"/>
              <w:left w:val="nil"/>
              <w:bottom w:val="nil"/>
              <w:right w:val="nil"/>
            </w:tcBorders>
            <w:shd w:val="clear" w:color="auto" w:fill="FFFFFF"/>
            <w:tcMar>
              <w:top w:w="80" w:type="dxa"/>
              <w:left w:w="120" w:type="dxa"/>
              <w:bottom w:w="80" w:type="dxa"/>
              <w:right w:w="120" w:type="dxa"/>
            </w:tcMar>
          </w:tcPr>
          <w:p w14:paraId="17E08225">
            <w:pPr>
              <w:jc w:val="center"/>
            </w:pPr>
            <w:r>
              <w:rPr>
                <w:sz w:val="21"/>
                <w:szCs w:val="21"/>
              </w:rPr>
              <w:t>Modelica</w:t>
            </w:r>
          </w:p>
        </w:tc>
      </w:tr>
      <w:tr w14:paraId="727EE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24E84E2A">
            <w:pPr>
              <w:jc w:val="center"/>
            </w:pPr>
            <w:r>
              <w:rPr>
                <w:sz w:val="21"/>
                <w:szCs w:val="21"/>
              </w:rPr>
              <w:t>基础模型</w:t>
            </w:r>
          </w:p>
        </w:tc>
        <w:tc>
          <w:tcPr>
            <w:tcW w:w="4535" w:type="dxa"/>
            <w:tcBorders>
              <w:top w:val="nil"/>
              <w:left w:val="nil"/>
              <w:bottom w:val="single" w:color="000000" w:sz="12" w:space="0"/>
              <w:right w:val="nil"/>
            </w:tcBorders>
            <w:shd w:val="clear" w:color="auto" w:fill="FFFFFF"/>
            <w:tcMar>
              <w:top w:w="80" w:type="dxa"/>
              <w:left w:w="120" w:type="dxa"/>
              <w:bottom w:w="80" w:type="dxa"/>
              <w:right w:w="120" w:type="dxa"/>
            </w:tcMar>
          </w:tcPr>
          <w:p w14:paraId="7F0B606B">
            <w:pPr>
              <w:jc w:val="center"/>
            </w:pPr>
            <w:r>
              <w:rPr>
                <w:sz w:val="21"/>
                <w:szCs w:val="21"/>
              </w:rPr>
              <w:t>MoHub QuadrotorModel (model/2355)</w:t>
            </w:r>
          </w:p>
        </w:tc>
      </w:tr>
    </w:tbl>
    <w:p w14:paraId="56FD27EA">
      <w:pPr>
        <w:pStyle w:val="4"/>
        <w:ind w:firstLine="0"/>
        <w:rPr>
          <w:rFonts w:asciiTheme="majorEastAsia" w:hAnsiTheme="majorEastAsia" w:eastAsiaTheme="majorEastAsia" w:cstheme="majorEastAsia"/>
          <w:b/>
          <w:bCs/>
          <w:sz w:val="36"/>
          <w:szCs w:val="36"/>
        </w:rPr>
      </w:pPr>
      <w:bookmarkStart w:id="13" w:name="_Toc28832"/>
    </w:p>
    <w:p w14:paraId="0A756795">
      <w:pPr>
        <w:pStyle w:val="4"/>
        <w:ind w:firstLine="0"/>
        <w:rPr>
          <w:rFonts w:hint="eastAsia"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3.6 仿真</w:t>
      </w:r>
      <w:bookmarkEnd w:id="13"/>
      <w:r>
        <w:rPr>
          <w:rFonts w:hint="eastAsia" w:asciiTheme="majorEastAsia" w:hAnsiTheme="majorEastAsia" w:eastAsiaTheme="majorEastAsia" w:cstheme="majorEastAsia"/>
          <w:b/>
          <w:bCs/>
          <w:sz w:val="36"/>
          <w:szCs w:val="36"/>
        </w:rPr>
        <w:t>验证口径说明</w:t>
      </w:r>
    </w:p>
    <w:p w14:paraId="551362B8">
      <w:pPr>
        <w:spacing w:line="360" w:lineRule="auto"/>
        <w:ind w:firstLine="560" w:firstLineChars="2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实时仿真口径：基线</w:t>
      </w:r>
      <w:r>
        <w:rPr>
          <w:rFonts w:cs="Times New Roman" w:eastAsiaTheme="minorEastAsia"/>
          <w:sz w:val="28"/>
          <w:szCs w:val="28"/>
        </w:rPr>
        <w:t>PID vs</w:t>
      </w:r>
      <w:r>
        <w:rPr>
          <w:rFonts w:hint="eastAsia" w:asciiTheme="minorEastAsia" w:hAnsiTheme="minorEastAsia" w:eastAsiaTheme="minorEastAsia" w:cstheme="minorEastAsia"/>
          <w:sz w:val="28"/>
          <w:szCs w:val="28"/>
        </w:rPr>
        <w:t xml:space="preserve"> 增强复合滑模，</w:t>
      </w:r>
      <w:r>
        <w:rPr>
          <w:rFonts w:cs="Times New Roman" w:eastAsiaTheme="minorEastAsia"/>
          <w:sz w:val="28"/>
          <w:szCs w:val="28"/>
        </w:rPr>
        <w:t>MWORKS</w:t>
      </w:r>
      <w:r>
        <w:rPr>
          <w:rFonts w:hint="eastAsia" w:asciiTheme="minorEastAsia" w:hAnsiTheme="minorEastAsia" w:eastAsiaTheme="minorEastAsia" w:cstheme="minorEastAsia"/>
          <w:sz w:val="28"/>
          <w:szCs w:val="28"/>
        </w:rPr>
        <w:t>实时求解</w:t>
      </w:r>
    </w:p>
    <w:p w14:paraId="63BF1165">
      <w:pPr>
        <w:spacing w:line="360" w:lineRule="auto"/>
        <w:ind w:firstLine="560" w:firstLineChars="2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安全链闭环口径：显式参考调节器与姿态控制障碍函数已接入控制回路，指标由带安全链的模型直接仿真得到，不再使用离线后处理。初赛版本此处的“离线回放口径”（在增强模型轨迹上事后叠加</w:t>
      </w:r>
      <w:r>
        <w:rPr>
          <w:rFonts w:cs="Times New Roman" w:eastAsiaTheme="minorEastAsia"/>
          <w:sz w:val="28"/>
          <w:szCs w:val="28"/>
        </w:rPr>
        <w:t>CBF/PPC/ERG</w:t>
      </w:r>
      <w:r>
        <w:rPr>
          <w:rFonts w:hint="eastAsia" w:asciiTheme="minorEastAsia" w:hAnsiTheme="minorEastAsia" w:eastAsiaTheme="minorEastAsia" w:cstheme="minorEastAsia"/>
          <w:sz w:val="28"/>
          <w:szCs w:val="28"/>
        </w:rPr>
        <w:t>安全链补偿</w:t>
      </w:r>
    </w:p>
    <w:p w14:paraId="340B46C1">
      <w:pPr>
        <w:spacing w:line="360" w:lineRule="auto"/>
        <w:ind w:firstLine="560" w:firstLineChars="2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蒙特卡洛口径：180组随机扰动下的统计结果</w:t>
      </w:r>
    </w:p>
    <w:p w14:paraId="2FA625A4">
      <w:pPr>
        <w:pStyle w:val="3"/>
        <w:spacing w:before="180" w:after="90"/>
        <w:ind w:firstLine="0"/>
        <w:rPr>
          <w:rFonts w:hint="eastAsia" w:asciiTheme="majorEastAsia" w:hAnsiTheme="majorEastAsia" w:eastAsiaTheme="majorEastAsia" w:cstheme="majorEastAsia"/>
          <w:sz w:val="44"/>
          <w:szCs w:val="44"/>
        </w:rPr>
      </w:pPr>
      <w:bookmarkStart w:id="14" w:name="_Toc1523"/>
      <w:r>
        <w:rPr>
          <w:rFonts w:hint="eastAsia" w:asciiTheme="majorEastAsia" w:hAnsiTheme="majorEastAsia" w:eastAsiaTheme="majorEastAsia" w:cstheme="majorEastAsia"/>
          <w:b/>
          <w:bCs/>
          <w:sz w:val="44"/>
          <w:szCs w:val="44"/>
        </w:rPr>
        <w:t>4. 仿真分析</w:t>
      </w:r>
      <w:bookmarkEnd w:id="14"/>
    </w:p>
    <w:p w14:paraId="13FEE204">
      <w:pPr>
        <w:pStyle w:val="4"/>
        <w:spacing w:before="120" w:after="60"/>
        <w:ind w:firstLine="0"/>
        <w:rPr>
          <w:rFonts w:hint="eastAsia" w:asciiTheme="majorEastAsia" w:hAnsiTheme="majorEastAsia" w:eastAsiaTheme="majorEastAsia" w:cstheme="majorEastAsia"/>
          <w:sz w:val="36"/>
          <w:szCs w:val="36"/>
        </w:rPr>
      </w:pPr>
      <w:bookmarkStart w:id="15" w:name="_Toc17812"/>
      <w:r>
        <w:rPr>
          <w:rFonts w:hint="eastAsia" w:asciiTheme="majorEastAsia" w:hAnsiTheme="majorEastAsia" w:eastAsiaTheme="majorEastAsia" w:cstheme="majorEastAsia"/>
          <w:b/>
          <w:bCs/>
          <w:sz w:val="36"/>
          <w:szCs w:val="36"/>
        </w:rPr>
        <w:t>4.1 爬升场景性能分析</w:t>
      </w:r>
      <w:bookmarkEnd w:id="15"/>
    </w:p>
    <w:p w14:paraId="34317A56">
      <w:pPr>
        <w:spacing w:line="360" w:lineRule="auto"/>
        <w:ind w:firstLine="480"/>
      </w:pPr>
      <w:r>
        <w:t>爬升是四旋翼无人机最基础的飞行工况，主要考验控制器对高度指令的跟踪能力、动态响应能力及稳态稳定性。我们将仿真时长设定为0至50秒，全程保持0.01秒的固定采样间隔，无人机从初始高度启动阶跃爬升动作。</w:t>
      </w:r>
    </w:p>
    <w:p w14:paraId="692F08A3">
      <w:pPr>
        <w:spacing w:line="360" w:lineRule="auto"/>
        <w:ind w:firstLine="480"/>
      </w:pPr>
      <w:r>
        <w:t>为全面评判爬升工况下的飞行表现，我们设定了多维度的量化评估指标：路径RMSE、平均路径误差与最大路径误差用于衡量轨迹跟踪精准度；高度响应超调与2%调节时间用于考核动态响应性能；最大姿态角与15°姿态边界超限点数用于评估飞行安全水平。</w:t>
      </w:r>
    </w:p>
    <w:p w14:paraId="4C6B356C">
      <w:pPr>
        <w:spacing w:line="360" w:lineRule="auto"/>
        <w:ind w:firstLine="480"/>
      </w:pPr>
      <w:r>
        <w:t>从实测数据可以看出，爬升场景下复合滑模控制器的优化效果十分突出。基线模型路径RMSE为0.2753 m，增强模型将该数值降至0.2280 m，整体轨迹误差实现17.16%的降幅。平均误差从0.1403 m降至0.1051 m，降低25.10%。高度阶跃响应超调由基线的1.691%下降至1.525%，动态响应平稳性得到有效改善。增强模型的飞行曲线更加贴近参考轨迹，波动幅度明显缩小。姿态方面，基线模型全程未出现姿态超限，增强模型出现3个超限点位（超限累计时长0.030 s）。这是由于复合滑模控制器的切换控制律在轨迹跟踪过程中产生了瞬时较大的控制力矩，导致姿态角短暂越过15°边界。该现象体现了轨迹跟踪精度与姿态安全之间的固有折中关系——更积极的控制动作提升了跟踪性能，但相应增加了姿态瞬时超调的风险。这一问题正是CBF/PPC/ERG安全链模块设计的出发点。重跑结果显示，接入显式参考调节器后该场景的15°超限累计时长由0.030 s降为0，代价是路径RMSE由0.2280 m升至0.2365 m（劣化3.74%，未满足预注册的3%门槛），详见6.5节。</w:t>
      </w:r>
    </w:p>
    <w:p w14:paraId="47ED52C4">
      <w:pPr>
        <w:jc w:val="center"/>
      </w:pPr>
      <w:r>
        <w:drawing>
          <wp:inline distT="0" distB="0" distL="0" distR="0">
            <wp:extent cx="5113655" cy="3524250"/>
            <wp:effectExtent l="0" t="0" r="0" b="0"/>
            <wp:docPr id="1" name="user_fig_image2.png" descr="figures/user_fig_image2.png" title="user_fig_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r_fig_image2.png" descr="figures/user_fig_image2.png" title="user_fig_image2.png"/>
                    <pic:cNvPicPr>
                      <a:picLocks noChangeAspect="1" noChangeArrowheads="1"/>
                    </pic:cNvPicPr>
                  </pic:nvPicPr>
                  <pic:blipFill>
                    <a:blip r:embed="rId8"/>
                    <a:srcRect r="6794"/>
                    <a:stretch>
                      <a:fillRect/>
                    </a:stretch>
                  </pic:blipFill>
                  <pic:spPr>
                    <a:xfrm>
                      <a:off x="0" y="0"/>
                      <a:ext cx="5113655" cy="3524250"/>
                    </a:xfrm>
                    <a:prstGeom prst="rect">
                      <a:avLst/>
                    </a:prstGeom>
                  </pic:spPr>
                </pic:pic>
              </a:graphicData>
            </a:graphic>
          </wp:inline>
        </w:drawing>
      </w:r>
    </w:p>
    <w:p w14:paraId="768CFD92">
      <w:pPr>
        <w:spacing w:before="60" w:after="120"/>
        <w:jc w:val="center"/>
        <w:rPr>
          <w:b/>
          <w:bCs/>
          <w:sz w:val="21"/>
          <w:szCs w:val="21"/>
        </w:rPr>
      </w:pPr>
      <w:r>
        <w:rPr>
          <w:b/>
          <w:bCs/>
          <w:sz w:val="21"/>
          <w:szCs w:val="21"/>
        </w:rPr>
        <w:t>图1 爬升任务高度跟踪结果</w:t>
      </w:r>
    </w:p>
    <w:p w14:paraId="19E8B81D">
      <w:pPr>
        <w:spacing w:before="60" w:after="120"/>
        <w:jc w:val="center"/>
        <w:rPr>
          <w:b/>
          <w:bCs/>
          <w:sz w:val="21"/>
          <w:szCs w:val="21"/>
        </w:rPr>
      </w:pPr>
    </w:p>
    <w:p w14:paraId="0FEBDD92">
      <w:pPr>
        <w:pStyle w:val="4"/>
        <w:spacing w:before="120" w:after="60"/>
        <w:ind w:firstLine="0"/>
        <w:rPr>
          <w:rFonts w:hint="eastAsia" w:asciiTheme="majorEastAsia" w:hAnsiTheme="majorEastAsia" w:eastAsiaTheme="majorEastAsia" w:cstheme="majorEastAsia"/>
          <w:sz w:val="36"/>
          <w:szCs w:val="36"/>
        </w:rPr>
      </w:pPr>
      <w:bookmarkStart w:id="16" w:name="_Toc29329"/>
      <w:r>
        <w:rPr>
          <w:rFonts w:hint="eastAsia" w:asciiTheme="majorEastAsia" w:hAnsiTheme="majorEastAsia" w:eastAsiaTheme="majorEastAsia" w:cstheme="majorEastAsia"/>
          <w:b/>
          <w:bCs/>
          <w:sz w:val="36"/>
          <w:szCs w:val="36"/>
        </w:rPr>
        <w:t>4.2 螺旋爬升场景性能分析</w:t>
      </w:r>
      <w:bookmarkEnd w:id="16"/>
    </w:p>
    <w:p w14:paraId="669FE3E2">
      <w:pPr>
        <w:spacing w:line="360" w:lineRule="auto"/>
        <w:ind w:firstLine="480"/>
      </w:pPr>
      <w:r>
        <w:t>螺旋爬升属于典型的复合运动工况，无人机需同时完成垂直爬升与水平圆周运动。仿真时长设置为0至50秒，两种运动模式相互耦合，大幅提升了控制器的协调控制难度。该场景模拟了无人机巡检、低空绕飞等实际作业工况。</w:t>
      </w:r>
    </w:p>
    <w:p w14:paraId="1EF637A2">
      <w:pPr>
        <w:spacing w:line="360" w:lineRule="auto"/>
        <w:ind w:firstLine="480"/>
      </w:pPr>
      <w:r>
        <w:t>螺旋爬升场景下增强模型的RMSE改善幅度明显小于其余两个场景。基线模型路径RMSE为0.4872 m，增强模型降至0.4744 m，改善率2.62%。初赛版本将其归因于“高度-圆周强耦合使得仅改进横向外环的收益有限”，该归因不成立。将路径误差按时间分段统计可知：t=10.00 s处参考不连续之后的2 s窗口贡献了该场景RMSE的41.0%（基线）与53.4%（增强），而该窗口仅占总时长的4%。剔除该窗口后，基线与增强的RMSE分别为0.2877 m与0.2213 m，改善率由2.62%提高到23.06%，与爬升、8字航迹两个场景处于同一量级。也就是说，该场景近一半的RMSE来自参考轨迹在t=10.00 s处3.000 m的位置阶跃——这部分误差反映的是参考本身不可行，任何控制器都无法减小，此前的低改善率是被指标口径掩盖所致。需要说明的是，分段统计是误差归因的手段而非性能指标的替代口径，本报告第4章表1的RMSE仍以全程为准。姿态统计显示基线模型存在1个超限点、增强模型为2个，成因见第6章。</w:t>
      </w:r>
    </w:p>
    <w:p w14:paraId="66C11638">
      <w:pPr>
        <w:spacing w:line="360" w:lineRule="auto"/>
        <w:ind w:firstLine="480"/>
      </w:pPr>
      <w:r>
        <w:rPr>
          <w:rFonts w:hint="eastAsia"/>
        </w:rPr>
        <w:t>补充说明该场景平均误差与RMSE改善率的差异。平均路径误差由0.3021 m降至0.2440 m，改善19.22%，明显高于RMSE的2.62%。原因在于RMSE对大幅值误差的敏感度远高于平均误差，而t=10.00 s处3 m参考阶跃造成的单次大幅值偏差在平方累加后占据了RMSE的主要份额，却只在平均误差中按线性权重计入。因此两个指标的差异同样指向参考不可行，而非控制器对不同频段误差的抑制能力差异。</w:t>
      </w:r>
    </w:p>
    <w:p w14:paraId="187E506B">
      <w:pPr>
        <w:jc w:val="center"/>
      </w:pPr>
      <w:r>
        <w:drawing>
          <wp:inline distT="0" distB="0" distL="0" distR="0">
            <wp:extent cx="5078095" cy="3524250"/>
            <wp:effectExtent l="0" t="0" r="0" b="0"/>
            <wp:docPr id="2" name="user_fig_image3.png" descr="figures/user_fig_image3.png" title="user_fig_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r_fig_image3.png" descr="figures/user_fig_image3.png" title="user_fig_image3.png"/>
                    <pic:cNvPicPr>
                      <a:picLocks noChangeAspect="1" noChangeArrowheads="1"/>
                    </pic:cNvPicPr>
                  </pic:nvPicPr>
                  <pic:blipFill>
                    <a:blip r:embed="rId9"/>
                    <a:srcRect r="7442"/>
                    <a:stretch>
                      <a:fillRect/>
                    </a:stretch>
                  </pic:blipFill>
                  <pic:spPr>
                    <a:xfrm>
                      <a:off x="0" y="0"/>
                      <a:ext cx="5078095" cy="3524250"/>
                    </a:xfrm>
                    <a:prstGeom prst="rect">
                      <a:avLst/>
                    </a:prstGeom>
                  </pic:spPr>
                </pic:pic>
              </a:graphicData>
            </a:graphic>
          </wp:inline>
        </w:drawing>
      </w:r>
    </w:p>
    <w:p w14:paraId="40DFC5D4">
      <w:pPr>
        <w:spacing w:before="60" w:after="120"/>
        <w:jc w:val="center"/>
        <w:rPr>
          <w:b/>
          <w:bCs/>
          <w:sz w:val="21"/>
          <w:szCs w:val="21"/>
        </w:rPr>
      </w:pPr>
      <w:r>
        <w:rPr>
          <w:b/>
          <w:bCs/>
          <w:sz w:val="21"/>
          <w:szCs w:val="21"/>
        </w:rPr>
        <w:t>图2 螺旋爬升XY航迹跟踪结果</w:t>
      </w:r>
    </w:p>
    <w:p w14:paraId="63B52F41">
      <w:pPr>
        <w:spacing w:before="60" w:after="120"/>
        <w:jc w:val="center"/>
        <w:rPr>
          <w:b/>
          <w:bCs/>
          <w:sz w:val="21"/>
          <w:szCs w:val="21"/>
        </w:rPr>
      </w:pPr>
    </w:p>
    <w:p w14:paraId="38E2B744">
      <w:pPr>
        <w:pStyle w:val="4"/>
        <w:spacing w:before="120" w:after="60"/>
        <w:ind w:firstLine="0"/>
        <w:rPr>
          <w:rFonts w:hint="eastAsia" w:asciiTheme="majorEastAsia" w:hAnsiTheme="majorEastAsia" w:eastAsiaTheme="majorEastAsia" w:cstheme="majorEastAsia"/>
          <w:sz w:val="36"/>
          <w:szCs w:val="36"/>
        </w:rPr>
      </w:pPr>
      <w:bookmarkStart w:id="17" w:name="_Toc10219"/>
      <w:r>
        <w:rPr>
          <w:rFonts w:hint="eastAsia" w:asciiTheme="majorEastAsia" w:hAnsiTheme="majorEastAsia" w:eastAsiaTheme="majorEastAsia" w:cstheme="majorEastAsia"/>
          <w:b/>
          <w:bCs/>
          <w:sz w:val="36"/>
          <w:szCs w:val="36"/>
        </w:rPr>
        <w:t>4.3 8字航迹场景性能分析</w:t>
      </w:r>
      <w:bookmarkEnd w:id="17"/>
    </w:p>
    <w:p w14:paraId="6C9D7FB2">
      <w:pPr>
        <w:spacing w:line="360" w:lineRule="auto"/>
        <w:ind w:firstLine="480"/>
      </w:pPr>
      <w:r>
        <w:t>8字航迹是无人机领域应用广泛的周期性复杂轨迹，飞行全程需要频繁切换方向，航向与位置始终处于动态变化之中。我们将仿真时长延长至0至120秒以确保数据采集的完整性。整个飞行过程不存在长时间匀速飞行阶段，动态变化剧烈，对控制器的实时调节能力提出了极高要求。</w:t>
      </w:r>
    </w:p>
    <w:p w14:paraId="7138C141">
      <w:pPr>
        <w:spacing w:line="360" w:lineRule="auto"/>
        <w:ind w:firstLine="480"/>
      </w:pPr>
      <w:r>
        <w:t>在8字航迹这一复杂周期性工况下，复合滑模控制器再次展现出优秀的控制效果。基线模型路径RMSE为0.1723 m，增强模型下降至0.1491 m，误差降幅达到13.47%。平均路径误差从0.0975 m降至0.0723 m，优化比例达到25.93%，轨迹跟踪精度提升显著。从航迹图可以直观看到，增强模型的飞行轨迹与参考路线贴合度更高，整体偏移量远小于基线模型。姿态安全方面，两组模型在全程飞行中都未出现15°姿态超限情况，证明该算法在复杂变向工况下能够同时兼顾跟踪精度与姿态稳定性。</w:t>
      </w:r>
    </w:p>
    <w:p w14:paraId="295AC28A">
      <w:pPr>
        <w:jc w:val="center"/>
      </w:pPr>
      <w:r>
        <w:drawing>
          <wp:inline distT="0" distB="0" distL="0" distR="0">
            <wp:extent cx="5113655" cy="3524250"/>
            <wp:effectExtent l="0" t="0" r="0" b="0"/>
            <wp:docPr id="3" name="user_fig_image4.png" descr="figures/user_fig_image4.png" title="user_fig_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r_fig_image4.png" descr="figures/user_fig_image4.png" title="user_fig_image4.png"/>
                    <pic:cNvPicPr>
                      <a:picLocks noChangeAspect="1" noChangeArrowheads="1"/>
                    </pic:cNvPicPr>
                  </pic:nvPicPr>
                  <pic:blipFill>
                    <a:blip r:embed="rId10"/>
                    <a:srcRect r="6794"/>
                    <a:stretch>
                      <a:fillRect/>
                    </a:stretch>
                  </pic:blipFill>
                  <pic:spPr>
                    <a:xfrm>
                      <a:off x="0" y="0"/>
                      <a:ext cx="5113655" cy="3524250"/>
                    </a:xfrm>
                    <a:prstGeom prst="rect">
                      <a:avLst/>
                    </a:prstGeom>
                  </pic:spPr>
                </pic:pic>
              </a:graphicData>
            </a:graphic>
          </wp:inline>
        </w:drawing>
      </w:r>
    </w:p>
    <w:p w14:paraId="19E5FF94">
      <w:pPr>
        <w:spacing w:before="60" w:after="120"/>
        <w:jc w:val="center"/>
        <w:rPr>
          <w:b/>
          <w:bCs/>
          <w:sz w:val="21"/>
          <w:szCs w:val="21"/>
        </w:rPr>
      </w:pPr>
      <w:r>
        <w:rPr>
          <w:b/>
          <w:bCs/>
          <w:sz w:val="21"/>
          <w:szCs w:val="21"/>
        </w:rPr>
        <w:t>图3 8字航迹XY跟踪结果</w:t>
      </w:r>
    </w:p>
    <w:p w14:paraId="278A8345">
      <w:pPr>
        <w:spacing w:before="60" w:after="120"/>
        <w:jc w:val="center"/>
        <w:rPr>
          <w:b/>
          <w:bCs/>
          <w:sz w:val="21"/>
          <w:szCs w:val="21"/>
        </w:rPr>
      </w:pPr>
    </w:p>
    <w:p w14:paraId="07DAB1E1">
      <w:pPr>
        <w:pStyle w:val="4"/>
        <w:spacing w:before="120" w:after="60"/>
        <w:ind w:firstLine="0"/>
        <w:rPr>
          <w:rFonts w:hint="eastAsia" w:asciiTheme="majorEastAsia" w:hAnsiTheme="majorEastAsia" w:eastAsiaTheme="majorEastAsia" w:cstheme="majorEastAsia"/>
          <w:sz w:val="36"/>
          <w:szCs w:val="36"/>
        </w:rPr>
      </w:pPr>
      <w:bookmarkStart w:id="18" w:name="_Toc4887"/>
      <w:r>
        <w:rPr>
          <w:rFonts w:hint="eastAsia" w:asciiTheme="majorEastAsia" w:hAnsiTheme="majorEastAsia" w:eastAsiaTheme="majorEastAsia" w:cstheme="majorEastAsia"/>
          <w:b/>
          <w:bCs/>
          <w:sz w:val="36"/>
          <w:szCs w:val="36"/>
        </w:rPr>
        <w:t>4.4 性能对比汇总</w:t>
      </w:r>
      <w:bookmarkEnd w:id="18"/>
    </w:p>
    <w:p w14:paraId="6BE6C6F9">
      <w:pPr>
        <w:spacing w:line="360" w:lineRule="auto"/>
        <w:ind w:firstLine="480"/>
      </w:pPr>
      <w:r>
        <w:t>我们将三类场景的全部性能指标汇总于表1，以便进行横向对比分析。</w:t>
      </w:r>
    </w:p>
    <w:p w14:paraId="0F6C2E2E">
      <w:pPr>
        <w:spacing w:line="360" w:lineRule="auto"/>
        <w:ind w:firstLine="480"/>
        <w:jc w:val="center"/>
      </w:pPr>
      <w:r>
        <w:t>表1：各仿真场景主要性能指标</w:t>
      </w:r>
    </w:p>
    <w:tbl>
      <w:tblPr>
        <w:tblStyle w:val="15"/>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11"/>
        <w:gridCol w:w="1511"/>
        <w:gridCol w:w="1511"/>
        <w:gridCol w:w="1511"/>
        <w:gridCol w:w="1511"/>
        <w:gridCol w:w="1515"/>
      </w:tblGrid>
      <w:tr w14:paraId="64439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4344798">
            <w:pPr>
              <w:jc w:val="center"/>
            </w:pPr>
            <w:r>
              <w:rPr>
                <w:b/>
                <w:bCs/>
                <w:sz w:val="21"/>
                <w:szCs w:val="21"/>
              </w:rPr>
              <w:t>场景</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4AB647E">
            <w:pPr>
              <w:jc w:val="center"/>
            </w:pPr>
            <w:r>
              <w:rPr>
                <w:b/>
                <w:bCs/>
                <w:sz w:val="21"/>
                <w:szCs w:val="21"/>
              </w:rPr>
              <w:t>模型</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E3AFA2E">
            <w:pPr>
              <w:jc w:val="center"/>
            </w:pPr>
            <w:r>
              <w:rPr>
                <w:b/>
                <w:bCs/>
                <w:sz w:val="21"/>
                <w:szCs w:val="21"/>
              </w:rPr>
              <w:t>路径RMSE/m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79CB0B2">
            <w:pPr>
              <w:jc w:val="center"/>
            </w:pPr>
            <w:r>
              <w:rPr>
                <w:b/>
                <w:bCs/>
                <w:sz w:val="21"/>
                <w:szCs w:val="21"/>
              </w:rPr>
              <w:t>平均误差/m</w:t>
            </w:r>
          </w:p>
        </w:tc>
        <w:tc>
          <w:tcPr>
            <w:tcW w:w="1511"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1336B69">
            <w:pPr>
              <w:jc w:val="center"/>
            </w:pPr>
            <w:r>
              <w:rPr>
                <w:b/>
                <w:bCs/>
                <w:sz w:val="21"/>
                <w:szCs w:val="21"/>
              </w:rPr>
              <w:t>最大误差/m</w:t>
            </w:r>
          </w:p>
        </w:tc>
        <w:tc>
          <w:tcPr>
            <w:tcW w:w="1515"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CAC97AD">
            <w:pPr>
              <w:jc w:val="center"/>
            </w:pPr>
            <w:r>
              <w:rPr>
                <w:b/>
                <w:bCs/>
                <w:sz w:val="21"/>
                <w:szCs w:val="21"/>
              </w:rPr>
              <w:t>姿态超限点</w:t>
            </w:r>
          </w:p>
        </w:tc>
      </w:tr>
      <w:tr w14:paraId="7D3A5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10FDB5DB">
            <w:pPr>
              <w:jc w:val="center"/>
            </w:pPr>
            <w:r>
              <w:rPr>
                <w:sz w:val="21"/>
                <w:szCs w:val="21"/>
              </w:rPr>
              <w:t>爬升</w:t>
            </w:r>
          </w:p>
        </w:tc>
        <w:tc>
          <w:tcPr>
            <w:tcW w:w="1511" w:type="dxa"/>
            <w:tcBorders>
              <w:top w:val="nil"/>
              <w:left w:val="nil"/>
              <w:bottom w:val="nil"/>
              <w:right w:val="nil"/>
            </w:tcBorders>
            <w:shd w:val="clear" w:color="auto" w:fill="FFFFFF"/>
            <w:tcMar>
              <w:top w:w="80" w:type="dxa"/>
              <w:left w:w="120" w:type="dxa"/>
              <w:bottom w:w="80" w:type="dxa"/>
              <w:right w:w="120" w:type="dxa"/>
            </w:tcMar>
          </w:tcPr>
          <w:p w14:paraId="7036462E">
            <w:pPr>
              <w:jc w:val="center"/>
            </w:pPr>
            <w:r>
              <w:rPr>
                <w:sz w:val="21"/>
                <w:szCs w:val="21"/>
              </w:rPr>
              <w:t>基线</w:t>
            </w:r>
          </w:p>
        </w:tc>
        <w:tc>
          <w:tcPr>
            <w:tcW w:w="1511" w:type="dxa"/>
            <w:tcBorders>
              <w:top w:val="nil"/>
              <w:left w:val="nil"/>
              <w:bottom w:val="nil"/>
              <w:right w:val="nil"/>
            </w:tcBorders>
            <w:shd w:val="clear" w:color="auto" w:fill="FFFFFF"/>
            <w:tcMar>
              <w:top w:w="80" w:type="dxa"/>
              <w:left w:w="120" w:type="dxa"/>
              <w:bottom w:w="80" w:type="dxa"/>
              <w:right w:w="120" w:type="dxa"/>
            </w:tcMar>
          </w:tcPr>
          <w:p w14:paraId="6D2F58AE">
            <w:pPr>
              <w:jc w:val="center"/>
            </w:pPr>
            <w:r>
              <w:rPr>
                <w:sz w:val="21"/>
                <w:szCs w:val="21"/>
              </w:rPr>
              <w:t>0.2753</w:t>
            </w:r>
          </w:p>
        </w:tc>
        <w:tc>
          <w:tcPr>
            <w:tcW w:w="1511" w:type="dxa"/>
            <w:tcBorders>
              <w:top w:val="nil"/>
              <w:left w:val="nil"/>
              <w:bottom w:val="nil"/>
              <w:right w:val="nil"/>
            </w:tcBorders>
            <w:shd w:val="clear" w:color="auto" w:fill="FFFFFF"/>
            <w:tcMar>
              <w:top w:w="80" w:type="dxa"/>
              <w:left w:w="120" w:type="dxa"/>
              <w:bottom w:w="80" w:type="dxa"/>
              <w:right w:w="120" w:type="dxa"/>
            </w:tcMar>
          </w:tcPr>
          <w:p w14:paraId="4C6A02B9">
            <w:pPr>
              <w:jc w:val="center"/>
            </w:pPr>
            <w:r>
              <w:rPr>
                <w:sz w:val="21"/>
                <w:szCs w:val="21"/>
              </w:rPr>
              <w:t>0.1403</w:t>
            </w:r>
          </w:p>
        </w:tc>
        <w:tc>
          <w:tcPr>
            <w:tcW w:w="1511" w:type="dxa"/>
            <w:tcBorders>
              <w:top w:val="nil"/>
              <w:left w:val="nil"/>
              <w:bottom w:val="nil"/>
              <w:right w:val="nil"/>
            </w:tcBorders>
            <w:shd w:val="clear" w:color="auto" w:fill="FFFFFF"/>
            <w:tcMar>
              <w:top w:w="80" w:type="dxa"/>
              <w:left w:w="120" w:type="dxa"/>
              <w:bottom w:w="80" w:type="dxa"/>
              <w:right w:w="120" w:type="dxa"/>
            </w:tcMar>
          </w:tcPr>
          <w:p w14:paraId="19F74242">
            <w:pPr>
              <w:jc w:val="center"/>
            </w:pPr>
            <w:r>
              <w:rPr>
                <w:sz w:val="21"/>
                <w:szCs w:val="21"/>
              </w:rPr>
              <w:t>1.3694</w:t>
            </w:r>
          </w:p>
        </w:tc>
        <w:tc>
          <w:tcPr>
            <w:tcW w:w="1515" w:type="dxa"/>
            <w:tcBorders>
              <w:top w:val="nil"/>
              <w:left w:val="nil"/>
              <w:bottom w:val="nil"/>
              <w:right w:val="nil"/>
            </w:tcBorders>
            <w:shd w:val="clear" w:color="auto" w:fill="FFFFFF"/>
            <w:tcMar>
              <w:top w:w="80" w:type="dxa"/>
              <w:left w:w="120" w:type="dxa"/>
              <w:bottom w:w="80" w:type="dxa"/>
              <w:right w:w="120" w:type="dxa"/>
            </w:tcMar>
          </w:tcPr>
          <w:p w14:paraId="3DB5A9A8">
            <w:pPr>
              <w:jc w:val="center"/>
            </w:pPr>
            <w:r>
              <w:rPr>
                <w:sz w:val="21"/>
                <w:szCs w:val="21"/>
              </w:rPr>
              <w:t>0</w:t>
            </w:r>
          </w:p>
        </w:tc>
      </w:tr>
      <w:tr w14:paraId="4A7F0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4229FFA3">
            <w:pPr>
              <w:jc w:val="center"/>
            </w:pPr>
            <w:r>
              <w:rPr>
                <w:sz w:val="21"/>
                <w:szCs w:val="21"/>
              </w:rPr>
              <w:t>爬升</w:t>
            </w:r>
          </w:p>
        </w:tc>
        <w:tc>
          <w:tcPr>
            <w:tcW w:w="1511" w:type="dxa"/>
            <w:tcBorders>
              <w:top w:val="nil"/>
              <w:left w:val="nil"/>
              <w:bottom w:val="nil"/>
              <w:right w:val="nil"/>
            </w:tcBorders>
            <w:shd w:val="clear" w:color="auto" w:fill="FFFFFF"/>
            <w:tcMar>
              <w:top w:w="80" w:type="dxa"/>
              <w:left w:w="120" w:type="dxa"/>
              <w:bottom w:w="80" w:type="dxa"/>
              <w:right w:w="120" w:type="dxa"/>
            </w:tcMar>
          </w:tcPr>
          <w:p w14:paraId="6040E45C">
            <w:pPr>
              <w:jc w:val="center"/>
            </w:pPr>
            <w:r>
              <w:rPr>
                <w:sz w:val="21"/>
                <w:szCs w:val="21"/>
              </w:rPr>
              <w:t>增强</w:t>
            </w:r>
          </w:p>
        </w:tc>
        <w:tc>
          <w:tcPr>
            <w:tcW w:w="1511" w:type="dxa"/>
            <w:tcBorders>
              <w:top w:val="nil"/>
              <w:left w:val="nil"/>
              <w:bottom w:val="nil"/>
              <w:right w:val="nil"/>
            </w:tcBorders>
            <w:shd w:val="clear" w:color="auto" w:fill="FFFFFF"/>
            <w:tcMar>
              <w:top w:w="80" w:type="dxa"/>
              <w:left w:w="120" w:type="dxa"/>
              <w:bottom w:w="80" w:type="dxa"/>
              <w:right w:w="120" w:type="dxa"/>
            </w:tcMar>
          </w:tcPr>
          <w:p w14:paraId="34857696">
            <w:pPr>
              <w:jc w:val="center"/>
            </w:pPr>
            <w:r>
              <w:rPr>
                <w:sz w:val="21"/>
                <w:szCs w:val="21"/>
              </w:rPr>
              <w:t>0.2280</w:t>
            </w:r>
          </w:p>
        </w:tc>
        <w:tc>
          <w:tcPr>
            <w:tcW w:w="1511" w:type="dxa"/>
            <w:tcBorders>
              <w:top w:val="nil"/>
              <w:left w:val="nil"/>
              <w:bottom w:val="nil"/>
              <w:right w:val="nil"/>
            </w:tcBorders>
            <w:shd w:val="clear" w:color="auto" w:fill="FFFFFF"/>
            <w:tcMar>
              <w:top w:w="80" w:type="dxa"/>
              <w:left w:w="120" w:type="dxa"/>
              <w:bottom w:w="80" w:type="dxa"/>
              <w:right w:w="120" w:type="dxa"/>
            </w:tcMar>
          </w:tcPr>
          <w:p w14:paraId="7F23382C">
            <w:pPr>
              <w:jc w:val="center"/>
            </w:pPr>
            <w:r>
              <w:rPr>
                <w:sz w:val="21"/>
                <w:szCs w:val="21"/>
              </w:rPr>
              <w:t>0.1051</w:t>
            </w:r>
          </w:p>
        </w:tc>
        <w:tc>
          <w:tcPr>
            <w:tcW w:w="1511" w:type="dxa"/>
            <w:tcBorders>
              <w:top w:val="nil"/>
              <w:left w:val="nil"/>
              <w:bottom w:val="nil"/>
              <w:right w:val="nil"/>
            </w:tcBorders>
            <w:shd w:val="clear" w:color="auto" w:fill="FFFFFF"/>
            <w:tcMar>
              <w:top w:w="80" w:type="dxa"/>
              <w:left w:w="120" w:type="dxa"/>
              <w:bottom w:w="80" w:type="dxa"/>
              <w:right w:w="120" w:type="dxa"/>
            </w:tcMar>
          </w:tcPr>
          <w:p w14:paraId="052EEE78">
            <w:pPr>
              <w:jc w:val="center"/>
            </w:pPr>
            <w:r>
              <w:rPr>
                <w:sz w:val="21"/>
                <w:szCs w:val="21"/>
              </w:rPr>
              <w:t>1.1351</w:t>
            </w:r>
          </w:p>
        </w:tc>
        <w:tc>
          <w:tcPr>
            <w:tcW w:w="1515" w:type="dxa"/>
            <w:tcBorders>
              <w:top w:val="nil"/>
              <w:left w:val="nil"/>
              <w:bottom w:val="nil"/>
              <w:right w:val="nil"/>
            </w:tcBorders>
            <w:shd w:val="clear" w:color="auto" w:fill="FFFFFF"/>
            <w:tcMar>
              <w:top w:w="80" w:type="dxa"/>
              <w:left w:w="120" w:type="dxa"/>
              <w:bottom w:w="80" w:type="dxa"/>
              <w:right w:w="120" w:type="dxa"/>
            </w:tcMar>
          </w:tcPr>
          <w:p w14:paraId="747F1615">
            <w:pPr>
              <w:jc w:val="center"/>
            </w:pPr>
            <w:r>
              <w:rPr>
                <w:sz w:val="21"/>
                <w:szCs w:val="21"/>
              </w:rPr>
              <w:t>3</w:t>
            </w:r>
          </w:p>
        </w:tc>
      </w:tr>
      <w:tr w14:paraId="78203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07723807">
            <w:pPr>
              <w:jc w:val="center"/>
            </w:pPr>
            <w:r>
              <w:rPr>
                <w:sz w:val="21"/>
                <w:szCs w:val="21"/>
              </w:rPr>
              <w:t>螺旋爬升</w:t>
            </w:r>
          </w:p>
        </w:tc>
        <w:tc>
          <w:tcPr>
            <w:tcW w:w="1511" w:type="dxa"/>
            <w:tcBorders>
              <w:top w:val="nil"/>
              <w:left w:val="nil"/>
              <w:bottom w:val="nil"/>
              <w:right w:val="nil"/>
            </w:tcBorders>
            <w:shd w:val="clear" w:color="auto" w:fill="FFFFFF"/>
            <w:tcMar>
              <w:top w:w="80" w:type="dxa"/>
              <w:left w:w="120" w:type="dxa"/>
              <w:bottom w:w="80" w:type="dxa"/>
              <w:right w:w="120" w:type="dxa"/>
            </w:tcMar>
          </w:tcPr>
          <w:p w14:paraId="43DC1C24">
            <w:pPr>
              <w:jc w:val="center"/>
            </w:pPr>
            <w:r>
              <w:rPr>
                <w:sz w:val="21"/>
                <w:szCs w:val="21"/>
              </w:rPr>
              <w:t>基线</w:t>
            </w:r>
          </w:p>
        </w:tc>
        <w:tc>
          <w:tcPr>
            <w:tcW w:w="1511" w:type="dxa"/>
            <w:tcBorders>
              <w:top w:val="nil"/>
              <w:left w:val="nil"/>
              <w:bottom w:val="nil"/>
              <w:right w:val="nil"/>
            </w:tcBorders>
            <w:shd w:val="clear" w:color="auto" w:fill="FFFFFF"/>
            <w:tcMar>
              <w:top w:w="80" w:type="dxa"/>
              <w:left w:w="120" w:type="dxa"/>
              <w:bottom w:w="80" w:type="dxa"/>
              <w:right w:w="120" w:type="dxa"/>
            </w:tcMar>
          </w:tcPr>
          <w:p w14:paraId="6E30625F">
            <w:pPr>
              <w:jc w:val="center"/>
            </w:pPr>
            <w:r>
              <w:rPr>
                <w:sz w:val="21"/>
                <w:szCs w:val="21"/>
              </w:rPr>
              <w:t>0.4872</w:t>
            </w:r>
          </w:p>
        </w:tc>
        <w:tc>
          <w:tcPr>
            <w:tcW w:w="1511" w:type="dxa"/>
            <w:tcBorders>
              <w:top w:val="nil"/>
              <w:left w:val="nil"/>
              <w:bottom w:val="nil"/>
              <w:right w:val="nil"/>
            </w:tcBorders>
            <w:shd w:val="clear" w:color="auto" w:fill="FFFFFF"/>
            <w:tcMar>
              <w:top w:w="80" w:type="dxa"/>
              <w:left w:w="120" w:type="dxa"/>
              <w:bottom w:w="80" w:type="dxa"/>
              <w:right w:w="120" w:type="dxa"/>
            </w:tcMar>
          </w:tcPr>
          <w:p w14:paraId="513AD9C9">
            <w:pPr>
              <w:jc w:val="center"/>
            </w:pPr>
            <w:r>
              <w:rPr>
                <w:sz w:val="21"/>
                <w:szCs w:val="21"/>
              </w:rPr>
              <w:t>0.3021</w:t>
            </w:r>
          </w:p>
        </w:tc>
        <w:tc>
          <w:tcPr>
            <w:tcW w:w="1511" w:type="dxa"/>
            <w:tcBorders>
              <w:top w:val="nil"/>
              <w:left w:val="nil"/>
              <w:bottom w:val="nil"/>
              <w:right w:val="nil"/>
            </w:tcBorders>
            <w:shd w:val="clear" w:color="auto" w:fill="FFFFFF"/>
            <w:tcMar>
              <w:top w:w="80" w:type="dxa"/>
              <w:left w:w="120" w:type="dxa"/>
              <w:bottom w:w="80" w:type="dxa"/>
              <w:right w:w="120" w:type="dxa"/>
            </w:tcMar>
          </w:tcPr>
          <w:p w14:paraId="59C1D6D9">
            <w:pPr>
              <w:jc w:val="center"/>
            </w:pPr>
            <w:r>
              <w:rPr>
                <w:sz w:val="21"/>
                <w:szCs w:val="21"/>
              </w:rPr>
              <w:t>3.0054</w:t>
            </w:r>
          </w:p>
        </w:tc>
        <w:tc>
          <w:tcPr>
            <w:tcW w:w="1515" w:type="dxa"/>
            <w:tcBorders>
              <w:top w:val="nil"/>
              <w:left w:val="nil"/>
              <w:bottom w:val="nil"/>
              <w:right w:val="nil"/>
            </w:tcBorders>
            <w:shd w:val="clear" w:color="auto" w:fill="FFFFFF"/>
            <w:tcMar>
              <w:top w:w="80" w:type="dxa"/>
              <w:left w:w="120" w:type="dxa"/>
              <w:bottom w:w="80" w:type="dxa"/>
              <w:right w:w="120" w:type="dxa"/>
            </w:tcMar>
          </w:tcPr>
          <w:p w14:paraId="7C5C3312">
            <w:pPr>
              <w:jc w:val="center"/>
            </w:pPr>
            <w:r>
              <w:rPr>
                <w:sz w:val="21"/>
                <w:szCs w:val="21"/>
              </w:rPr>
              <w:t>1</w:t>
            </w:r>
          </w:p>
        </w:tc>
      </w:tr>
      <w:tr w14:paraId="4E37B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07E3B94F">
            <w:pPr>
              <w:jc w:val="center"/>
            </w:pPr>
            <w:r>
              <w:rPr>
                <w:sz w:val="21"/>
                <w:szCs w:val="21"/>
              </w:rPr>
              <w:t>螺旋爬升</w:t>
            </w:r>
          </w:p>
        </w:tc>
        <w:tc>
          <w:tcPr>
            <w:tcW w:w="1511" w:type="dxa"/>
            <w:tcBorders>
              <w:top w:val="nil"/>
              <w:left w:val="nil"/>
              <w:bottom w:val="nil"/>
              <w:right w:val="nil"/>
            </w:tcBorders>
            <w:shd w:val="clear" w:color="auto" w:fill="FFFFFF"/>
            <w:tcMar>
              <w:top w:w="80" w:type="dxa"/>
              <w:left w:w="120" w:type="dxa"/>
              <w:bottom w:w="80" w:type="dxa"/>
              <w:right w:w="120" w:type="dxa"/>
            </w:tcMar>
          </w:tcPr>
          <w:p w14:paraId="4648B788">
            <w:pPr>
              <w:jc w:val="center"/>
            </w:pPr>
            <w:r>
              <w:rPr>
                <w:sz w:val="21"/>
                <w:szCs w:val="21"/>
              </w:rPr>
              <w:t>增强</w:t>
            </w:r>
          </w:p>
        </w:tc>
        <w:tc>
          <w:tcPr>
            <w:tcW w:w="1511" w:type="dxa"/>
            <w:tcBorders>
              <w:top w:val="nil"/>
              <w:left w:val="nil"/>
              <w:bottom w:val="nil"/>
              <w:right w:val="nil"/>
            </w:tcBorders>
            <w:shd w:val="clear" w:color="auto" w:fill="FFFFFF"/>
            <w:tcMar>
              <w:top w:w="80" w:type="dxa"/>
              <w:left w:w="120" w:type="dxa"/>
              <w:bottom w:w="80" w:type="dxa"/>
              <w:right w:w="120" w:type="dxa"/>
            </w:tcMar>
          </w:tcPr>
          <w:p w14:paraId="6EB5C035">
            <w:pPr>
              <w:jc w:val="center"/>
            </w:pPr>
            <w:r>
              <w:rPr>
                <w:sz w:val="21"/>
                <w:szCs w:val="21"/>
              </w:rPr>
              <w:t>0.4744</w:t>
            </w:r>
          </w:p>
        </w:tc>
        <w:tc>
          <w:tcPr>
            <w:tcW w:w="1511" w:type="dxa"/>
            <w:tcBorders>
              <w:top w:val="nil"/>
              <w:left w:val="nil"/>
              <w:bottom w:val="nil"/>
              <w:right w:val="nil"/>
            </w:tcBorders>
            <w:shd w:val="clear" w:color="auto" w:fill="FFFFFF"/>
            <w:tcMar>
              <w:top w:w="80" w:type="dxa"/>
              <w:left w:w="120" w:type="dxa"/>
              <w:bottom w:w="80" w:type="dxa"/>
              <w:right w:w="120" w:type="dxa"/>
            </w:tcMar>
          </w:tcPr>
          <w:p w14:paraId="4D9BAF5C">
            <w:pPr>
              <w:jc w:val="center"/>
            </w:pPr>
            <w:r>
              <w:rPr>
                <w:sz w:val="21"/>
                <w:szCs w:val="21"/>
              </w:rPr>
              <w:t>0.2440</w:t>
            </w:r>
          </w:p>
        </w:tc>
        <w:tc>
          <w:tcPr>
            <w:tcW w:w="1511" w:type="dxa"/>
            <w:tcBorders>
              <w:top w:val="nil"/>
              <w:left w:val="nil"/>
              <w:bottom w:val="nil"/>
              <w:right w:val="nil"/>
            </w:tcBorders>
            <w:shd w:val="clear" w:color="auto" w:fill="FFFFFF"/>
            <w:tcMar>
              <w:top w:w="80" w:type="dxa"/>
              <w:left w:w="120" w:type="dxa"/>
              <w:bottom w:w="80" w:type="dxa"/>
              <w:right w:w="120" w:type="dxa"/>
            </w:tcMar>
          </w:tcPr>
          <w:p w14:paraId="68A32ADF">
            <w:pPr>
              <w:jc w:val="center"/>
            </w:pPr>
            <w:r>
              <w:rPr>
                <w:sz w:val="21"/>
                <w:szCs w:val="21"/>
              </w:rPr>
              <w:t>3.0042</w:t>
            </w:r>
          </w:p>
        </w:tc>
        <w:tc>
          <w:tcPr>
            <w:tcW w:w="1515" w:type="dxa"/>
            <w:tcBorders>
              <w:top w:val="nil"/>
              <w:left w:val="nil"/>
              <w:bottom w:val="nil"/>
              <w:right w:val="nil"/>
            </w:tcBorders>
            <w:shd w:val="clear" w:color="auto" w:fill="FFFFFF"/>
            <w:tcMar>
              <w:top w:w="80" w:type="dxa"/>
              <w:left w:w="120" w:type="dxa"/>
              <w:bottom w:w="80" w:type="dxa"/>
              <w:right w:w="120" w:type="dxa"/>
            </w:tcMar>
          </w:tcPr>
          <w:p w14:paraId="56B08DAB">
            <w:pPr>
              <w:jc w:val="center"/>
            </w:pPr>
            <w:r>
              <w:rPr>
                <w:sz w:val="21"/>
                <w:szCs w:val="21"/>
              </w:rPr>
              <w:t>2</w:t>
            </w:r>
          </w:p>
        </w:tc>
      </w:tr>
      <w:tr w14:paraId="5E674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nil"/>
              <w:right w:val="nil"/>
            </w:tcBorders>
            <w:shd w:val="clear" w:color="auto" w:fill="FFFFFF"/>
            <w:tcMar>
              <w:top w:w="80" w:type="dxa"/>
              <w:left w:w="120" w:type="dxa"/>
              <w:bottom w:w="80" w:type="dxa"/>
              <w:right w:w="120" w:type="dxa"/>
            </w:tcMar>
          </w:tcPr>
          <w:p w14:paraId="4BAB0416">
            <w:pPr>
              <w:jc w:val="center"/>
            </w:pPr>
            <w:r>
              <w:rPr>
                <w:sz w:val="21"/>
                <w:szCs w:val="21"/>
              </w:rPr>
              <w:t>8字航迹</w:t>
            </w:r>
          </w:p>
        </w:tc>
        <w:tc>
          <w:tcPr>
            <w:tcW w:w="1511" w:type="dxa"/>
            <w:tcBorders>
              <w:top w:val="nil"/>
              <w:left w:val="nil"/>
              <w:bottom w:val="nil"/>
              <w:right w:val="nil"/>
            </w:tcBorders>
            <w:shd w:val="clear" w:color="auto" w:fill="FFFFFF"/>
            <w:tcMar>
              <w:top w:w="80" w:type="dxa"/>
              <w:left w:w="120" w:type="dxa"/>
              <w:bottom w:w="80" w:type="dxa"/>
              <w:right w:w="120" w:type="dxa"/>
            </w:tcMar>
          </w:tcPr>
          <w:p w14:paraId="7AC8B04E">
            <w:pPr>
              <w:jc w:val="center"/>
            </w:pPr>
            <w:r>
              <w:rPr>
                <w:sz w:val="21"/>
                <w:szCs w:val="21"/>
              </w:rPr>
              <w:t>基线</w:t>
            </w:r>
          </w:p>
        </w:tc>
        <w:tc>
          <w:tcPr>
            <w:tcW w:w="1511" w:type="dxa"/>
            <w:tcBorders>
              <w:top w:val="nil"/>
              <w:left w:val="nil"/>
              <w:bottom w:val="nil"/>
              <w:right w:val="nil"/>
            </w:tcBorders>
            <w:shd w:val="clear" w:color="auto" w:fill="FFFFFF"/>
            <w:tcMar>
              <w:top w:w="80" w:type="dxa"/>
              <w:left w:w="120" w:type="dxa"/>
              <w:bottom w:w="80" w:type="dxa"/>
              <w:right w:w="120" w:type="dxa"/>
            </w:tcMar>
          </w:tcPr>
          <w:p w14:paraId="0020AB42">
            <w:pPr>
              <w:jc w:val="center"/>
            </w:pPr>
            <w:r>
              <w:rPr>
                <w:sz w:val="21"/>
                <w:szCs w:val="21"/>
              </w:rPr>
              <w:t>0.1723</w:t>
            </w:r>
          </w:p>
        </w:tc>
        <w:tc>
          <w:tcPr>
            <w:tcW w:w="1511" w:type="dxa"/>
            <w:tcBorders>
              <w:top w:val="nil"/>
              <w:left w:val="nil"/>
              <w:bottom w:val="nil"/>
              <w:right w:val="nil"/>
            </w:tcBorders>
            <w:shd w:val="clear" w:color="auto" w:fill="FFFFFF"/>
            <w:tcMar>
              <w:top w:w="80" w:type="dxa"/>
              <w:left w:w="120" w:type="dxa"/>
              <w:bottom w:w="80" w:type="dxa"/>
              <w:right w:w="120" w:type="dxa"/>
            </w:tcMar>
          </w:tcPr>
          <w:p w14:paraId="0056AD77">
            <w:pPr>
              <w:jc w:val="center"/>
            </w:pPr>
            <w:r>
              <w:rPr>
                <w:sz w:val="21"/>
                <w:szCs w:val="21"/>
              </w:rPr>
              <w:t>0.0975</w:t>
            </w:r>
          </w:p>
        </w:tc>
        <w:tc>
          <w:tcPr>
            <w:tcW w:w="1511" w:type="dxa"/>
            <w:tcBorders>
              <w:top w:val="nil"/>
              <w:left w:val="nil"/>
              <w:bottom w:val="nil"/>
              <w:right w:val="nil"/>
            </w:tcBorders>
            <w:shd w:val="clear" w:color="auto" w:fill="FFFFFF"/>
            <w:tcMar>
              <w:top w:w="80" w:type="dxa"/>
              <w:left w:w="120" w:type="dxa"/>
              <w:bottom w:w="80" w:type="dxa"/>
              <w:right w:w="120" w:type="dxa"/>
            </w:tcMar>
          </w:tcPr>
          <w:p w14:paraId="18496156">
            <w:pPr>
              <w:jc w:val="center"/>
            </w:pPr>
            <w:r>
              <w:rPr>
                <w:sz w:val="21"/>
                <w:szCs w:val="21"/>
              </w:rPr>
              <w:t>1.2170</w:t>
            </w:r>
          </w:p>
        </w:tc>
        <w:tc>
          <w:tcPr>
            <w:tcW w:w="1515" w:type="dxa"/>
            <w:tcBorders>
              <w:top w:val="nil"/>
              <w:left w:val="nil"/>
              <w:bottom w:val="nil"/>
              <w:right w:val="nil"/>
            </w:tcBorders>
            <w:shd w:val="clear" w:color="auto" w:fill="FFFFFF"/>
            <w:tcMar>
              <w:top w:w="80" w:type="dxa"/>
              <w:left w:w="120" w:type="dxa"/>
              <w:bottom w:w="80" w:type="dxa"/>
              <w:right w:w="120" w:type="dxa"/>
            </w:tcMar>
          </w:tcPr>
          <w:p w14:paraId="5227DD72">
            <w:pPr>
              <w:jc w:val="center"/>
            </w:pPr>
            <w:r>
              <w:rPr>
                <w:sz w:val="21"/>
                <w:szCs w:val="21"/>
              </w:rPr>
              <w:t>0</w:t>
            </w:r>
          </w:p>
        </w:tc>
      </w:tr>
      <w:tr w14:paraId="463AE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3A5ADE86">
            <w:pPr>
              <w:jc w:val="center"/>
            </w:pPr>
            <w:r>
              <w:rPr>
                <w:sz w:val="21"/>
                <w:szCs w:val="21"/>
              </w:rPr>
              <w:t>8字航迹</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4B179831">
            <w:pPr>
              <w:jc w:val="center"/>
            </w:pPr>
            <w:r>
              <w:rPr>
                <w:sz w:val="21"/>
                <w:szCs w:val="21"/>
              </w:rPr>
              <w:t>增强</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63365DA6">
            <w:pPr>
              <w:jc w:val="center"/>
            </w:pPr>
            <w:r>
              <w:rPr>
                <w:sz w:val="21"/>
                <w:szCs w:val="21"/>
              </w:rPr>
              <w:t>0.1491</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37B39EF1">
            <w:pPr>
              <w:jc w:val="center"/>
            </w:pPr>
            <w:r>
              <w:rPr>
                <w:sz w:val="21"/>
                <w:szCs w:val="21"/>
              </w:rPr>
              <w:t>0.0723</w:t>
            </w:r>
          </w:p>
        </w:tc>
        <w:tc>
          <w:tcPr>
            <w:tcW w:w="1511" w:type="dxa"/>
            <w:tcBorders>
              <w:top w:val="nil"/>
              <w:left w:val="nil"/>
              <w:bottom w:val="single" w:color="000000" w:sz="12" w:space="0"/>
              <w:right w:val="nil"/>
            </w:tcBorders>
            <w:shd w:val="clear" w:color="auto" w:fill="FFFFFF"/>
            <w:tcMar>
              <w:top w:w="80" w:type="dxa"/>
              <w:left w:w="120" w:type="dxa"/>
              <w:bottom w:w="80" w:type="dxa"/>
              <w:right w:w="120" w:type="dxa"/>
            </w:tcMar>
          </w:tcPr>
          <w:p w14:paraId="00E56423">
            <w:pPr>
              <w:jc w:val="center"/>
            </w:pPr>
            <w:r>
              <w:rPr>
                <w:sz w:val="21"/>
                <w:szCs w:val="21"/>
              </w:rPr>
              <w:t>1.0601</w:t>
            </w:r>
          </w:p>
        </w:tc>
        <w:tc>
          <w:tcPr>
            <w:tcW w:w="1515" w:type="dxa"/>
            <w:tcBorders>
              <w:top w:val="nil"/>
              <w:left w:val="nil"/>
              <w:bottom w:val="single" w:color="000000" w:sz="12" w:space="0"/>
              <w:right w:val="nil"/>
            </w:tcBorders>
            <w:shd w:val="clear" w:color="auto" w:fill="FFFFFF"/>
            <w:tcMar>
              <w:top w:w="80" w:type="dxa"/>
              <w:left w:w="120" w:type="dxa"/>
              <w:bottom w:w="80" w:type="dxa"/>
              <w:right w:w="120" w:type="dxa"/>
            </w:tcMar>
          </w:tcPr>
          <w:p w14:paraId="7B3F4B5B">
            <w:pPr>
              <w:jc w:val="center"/>
            </w:pPr>
            <w:r>
              <w:rPr>
                <w:sz w:val="21"/>
                <w:szCs w:val="21"/>
              </w:rPr>
              <w:t>0</w:t>
            </w:r>
          </w:p>
        </w:tc>
      </w:tr>
    </w:tbl>
    <w:p w14:paraId="5DDE6C6A">
      <w:pPr>
        <w:spacing w:line="360" w:lineRule="auto"/>
        <w:ind w:firstLine="480"/>
      </w:pPr>
      <w:r>
        <w:rPr>
          <w:b/>
          <w:bCs/>
        </w:rPr>
        <w:t xml:space="preserve"> 注：</w:t>
      </w:r>
      <w:r>
        <w:t>所有数据由MWORKS Sysplorer 2026a实时仿真直接输出，采样间隔0.01 s。</w:t>
      </w:r>
    </w:p>
    <w:p w14:paraId="38F20C81">
      <w:pPr>
        <w:spacing w:line="360" w:lineRule="auto"/>
        <w:ind w:firstLine="480"/>
      </w:pPr>
    </w:p>
    <w:p w14:paraId="38D67D37">
      <w:pPr>
        <w:spacing w:line="360" w:lineRule="auto"/>
        <w:ind w:firstLine="480"/>
      </w:pPr>
      <w:r>
        <w:t>从表1可以看出，增强复合滑模控制器在三类场景中均实现了路径RMSE的降低，其中爬升场景改善最为显著（17.16%），8字航迹次之（13.47%），螺旋爬升最小（2.62%）。这一梯度符合物理直觉：爬升工况为单一维度控制，滑模控制器的鲁棒性优势能够充分发挥；8字航迹虽然运动复杂但各轴相对独立；而螺旋爬升的改善率最低另有成因：如4.2节所述，其RMSE的四至五成来自t=10.00 s处3 m参考阶跃这一不可行段，并非横向外环改进收益不足。平均误差的改善率（25.10%/19.22%/25.93%）普遍高于RMSE改善率，说明复合滑模控制器对中低频跟踪误差的抑制效果更为突出。</w:t>
      </w:r>
    </w:p>
    <w:p w14:paraId="178E8458">
      <w:pPr>
        <w:jc w:val="center"/>
      </w:pPr>
      <w:r>
        <w:drawing>
          <wp:inline distT="0" distB="0" distL="0" distR="0">
            <wp:extent cx="5486400" cy="3524250"/>
            <wp:effectExtent l="0" t="0" r="0" b="0"/>
            <wp:docPr id="4" name="user_fig_image1.png" descr="figures/user_fig_image1.png" title="user_fig_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r_fig_image1.png" descr="figures/user_fig_image1.png" title="user_fig_image1.png"/>
                    <pic:cNvPicPr>
                      <a:picLocks noChangeAspect="1" noChangeArrowheads="1"/>
                    </pic:cNvPicPr>
                  </pic:nvPicPr>
                  <pic:blipFill>
                    <a:blip r:embed="rId11"/>
                    <a:srcRect/>
                    <a:stretch>
                      <a:fillRect/>
                    </a:stretch>
                  </pic:blipFill>
                  <pic:spPr>
                    <a:xfrm>
                      <a:off x="0" y="0"/>
                      <a:ext cx="5486400" cy="3524250"/>
                    </a:xfrm>
                    <a:prstGeom prst="rect">
                      <a:avLst/>
                    </a:prstGeom>
                  </pic:spPr>
                </pic:pic>
              </a:graphicData>
            </a:graphic>
          </wp:inline>
        </w:drawing>
      </w:r>
    </w:p>
    <w:p w14:paraId="5177E3E2">
      <w:pPr>
        <w:spacing w:before="60" w:after="120"/>
        <w:jc w:val="center"/>
        <w:rPr>
          <w:b/>
          <w:bCs/>
          <w:sz w:val="21"/>
          <w:szCs w:val="21"/>
        </w:rPr>
      </w:pPr>
      <w:r>
        <w:rPr>
          <w:b/>
          <w:bCs/>
          <w:sz w:val="21"/>
          <w:szCs w:val="21"/>
        </w:rPr>
        <w:t>图4 三类任务路径RMSE对比</w:t>
      </w:r>
    </w:p>
    <w:p w14:paraId="7F6E2C9D">
      <w:pPr>
        <w:spacing w:before="60" w:after="120"/>
        <w:jc w:val="center"/>
        <w:rPr>
          <w:b/>
          <w:bCs/>
          <w:sz w:val="21"/>
          <w:szCs w:val="21"/>
        </w:rPr>
      </w:pPr>
    </w:p>
    <w:p w14:paraId="40B2893B">
      <w:pPr>
        <w:jc w:val="center"/>
      </w:pPr>
      <w:r>
        <w:drawing>
          <wp:inline distT="0" distB="0" distL="0" distR="0">
            <wp:extent cx="5486400" cy="3524250"/>
            <wp:effectExtent l="0" t="0" r="0" b="0"/>
            <wp:docPr id="5" name="user_fig_image5.png" descr="figures/user_fig_image5.png" title="user_fig_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r_fig_image5.png" descr="figures/user_fig_image5.png" title="user_fig_image5.png"/>
                    <pic:cNvPicPr>
                      <a:picLocks noChangeAspect="1" noChangeArrowheads="1"/>
                    </pic:cNvPicPr>
                  </pic:nvPicPr>
                  <pic:blipFill>
                    <a:blip r:embed="rId12"/>
                    <a:srcRect/>
                    <a:stretch>
                      <a:fillRect/>
                    </a:stretch>
                  </pic:blipFill>
                  <pic:spPr>
                    <a:xfrm>
                      <a:off x="0" y="0"/>
                      <a:ext cx="5486400" cy="3524250"/>
                    </a:xfrm>
                    <a:prstGeom prst="rect">
                      <a:avLst/>
                    </a:prstGeom>
                  </pic:spPr>
                </pic:pic>
              </a:graphicData>
            </a:graphic>
          </wp:inline>
        </w:drawing>
      </w:r>
    </w:p>
    <w:p w14:paraId="1C478290">
      <w:pPr>
        <w:spacing w:before="60" w:after="120"/>
        <w:jc w:val="center"/>
        <w:rPr>
          <w:b/>
          <w:bCs/>
          <w:sz w:val="21"/>
          <w:szCs w:val="21"/>
        </w:rPr>
      </w:pPr>
      <w:r>
        <w:rPr>
          <w:b/>
          <w:bCs/>
          <w:sz w:val="21"/>
          <w:szCs w:val="21"/>
        </w:rPr>
        <w:t>图5 最大姿态与15deg安全边界</w:t>
      </w:r>
    </w:p>
    <w:p w14:paraId="7E6897E3">
      <w:pPr>
        <w:pStyle w:val="3"/>
        <w:spacing w:before="180" w:after="90"/>
        <w:ind w:firstLine="0"/>
        <w:rPr>
          <w:rFonts w:hint="eastAsia" w:asciiTheme="majorEastAsia" w:hAnsiTheme="majorEastAsia" w:eastAsiaTheme="majorEastAsia" w:cstheme="majorEastAsia"/>
          <w:sz w:val="44"/>
          <w:szCs w:val="44"/>
        </w:rPr>
      </w:pPr>
      <w:bookmarkStart w:id="19" w:name="_Toc12121"/>
      <w:r>
        <w:rPr>
          <w:rFonts w:hint="eastAsia" w:asciiTheme="majorEastAsia" w:hAnsiTheme="majorEastAsia" w:eastAsiaTheme="majorEastAsia" w:cstheme="majorEastAsia"/>
          <w:b/>
          <w:bCs/>
          <w:sz w:val="44"/>
          <w:szCs w:val="44"/>
        </w:rPr>
        <w:t>5.动态响应与鲁棒性验证</w:t>
      </w:r>
      <w:bookmarkEnd w:id="19"/>
    </w:p>
    <w:p w14:paraId="0D97EDE8">
      <w:pPr>
        <w:pStyle w:val="4"/>
        <w:spacing w:before="120" w:after="60"/>
        <w:ind w:firstLine="0"/>
        <w:rPr>
          <w:rFonts w:hint="eastAsia" w:asciiTheme="majorEastAsia" w:hAnsiTheme="majorEastAsia" w:eastAsiaTheme="majorEastAsia" w:cstheme="majorEastAsia"/>
          <w:sz w:val="36"/>
          <w:szCs w:val="36"/>
        </w:rPr>
      </w:pPr>
      <w:bookmarkStart w:id="20" w:name="_Toc756"/>
      <w:r>
        <w:rPr>
          <w:rFonts w:hint="eastAsia" w:asciiTheme="majorEastAsia" w:hAnsiTheme="majorEastAsia" w:eastAsiaTheme="majorEastAsia" w:cstheme="majorEastAsia"/>
          <w:b/>
          <w:bCs/>
          <w:sz w:val="36"/>
          <w:szCs w:val="36"/>
        </w:rPr>
        <w:t>5.1 动态响应指标对比</w:t>
      </w:r>
      <w:bookmarkEnd w:id="20"/>
    </w:p>
    <w:p w14:paraId="188E9C4C">
      <w:pPr>
        <w:spacing w:line="360" w:lineRule="auto"/>
        <w:ind w:firstLine="480"/>
      </w:pPr>
      <w:r>
        <w:t>除基础轨迹跟踪指标外，我们还针对性补充了动态响应测试。以爬升阶跃工况为载体，系统对比两组控制器的过渡过程表现，重点分析超调量、调节时间及稳态误差三项参数。</w:t>
      </w:r>
    </w:p>
    <w:p w14:paraId="320EE03C">
      <w:pPr>
        <w:spacing w:line="360" w:lineRule="auto"/>
        <w:ind w:firstLine="480"/>
        <w:jc w:val="center"/>
      </w:pPr>
      <w:r>
        <w:t>表2：动态响应与鲁棒性指标汇总</w:t>
      </w:r>
    </w:p>
    <w:tbl>
      <w:tblPr>
        <w:tblStyle w:val="15"/>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14"/>
        <w:gridCol w:w="1814"/>
        <w:gridCol w:w="1814"/>
        <w:gridCol w:w="1814"/>
        <w:gridCol w:w="1814"/>
      </w:tblGrid>
      <w:tr w14:paraId="7D549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FBD225A">
            <w:pPr>
              <w:jc w:val="center"/>
            </w:pPr>
            <w:r>
              <w:rPr>
                <w:b/>
                <w:bCs/>
                <w:sz w:val="21"/>
                <w:szCs w:val="21"/>
              </w:rPr>
              <w:t>对比维度</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5DBDE9E">
            <w:pPr>
              <w:jc w:val="center"/>
            </w:pPr>
            <w:r>
              <w:rPr>
                <w:b/>
                <w:bCs/>
                <w:sz w:val="21"/>
                <w:szCs w:val="21"/>
              </w:rPr>
              <w:t>基线实时仿真</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EF81A0F">
            <w:pPr>
              <w:jc w:val="center"/>
            </w:pPr>
            <w:r>
              <w:rPr>
                <w:b/>
                <w:bCs/>
                <w:sz w:val="21"/>
                <w:szCs w:val="21"/>
              </w:rPr>
              <w:t>增强实时仿真</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F0C6FF0">
            <w:pPr>
              <w:jc w:val="center"/>
            </w:pPr>
            <w:r>
              <w:rPr>
                <w:b/>
                <w:bCs/>
                <w:sz w:val="21"/>
                <w:szCs w:val="21"/>
              </w:rPr>
              <w:t>安全链接入后</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B2F36C3">
            <w:pPr>
              <w:jc w:val="center"/>
            </w:pPr>
            <w:r>
              <w:rPr>
                <w:b/>
                <w:bCs/>
                <w:sz w:val="21"/>
                <w:szCs w:val="21"/>
              </w:rPr>
              <w:t>说明</w:t>
            </w:r>
          </w:p>
        </w:tc>
      </w:tr>
      <w:tr w14:paraId="0BD2C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Borders>
              <w:top w:val="nil"/>
              <w:left w:val="nil"/>
              <w:bottom w:val="nil"/>
              <w:right w:val="nil"/>
            </w:tcBorders>
            <w:shd w:val="clear" w:color="auto" w:fill="FFFFFF"/>
            <w:tcMar>
              <w:top w:w="80" w:type="dxa"/>
              <w:left w:w="120" w:type="dxa"/>
              <w:bottom w:w="80" w:type="dxa"/>
              <w:right w:w="120" w:type="dxa"/>
            </w:tcMar>
          </w:tcPr>
          <w:p w14:paraId="307049E8">
            <w:pPr>
              <w:jc w:val="center"/>
            </w:pPr>
            <w:r>
              <w:rPr>
                <w:sz w:val="21"/>
                <w:szCs w:val="21"/>
              </w:rPr>
              <w:t>阶跃超调/%</w:t>
            </w:r>
          </w:p>
        </w:tc>
        <w:tc>
          <w:tcPr>
            <w:tcW w:w="1814" w:type="dxa"/>
            <w:tcBorders>
              <w:top w:val="nil"/>
              <w:left w:val="nil"/>
              <w:bottom w:val="nil"/>
              <w:right w:val="nil"/>
            </w:tcBorders>
            <w:shd w:val="clear" w:color="auto" w:fill="FFFFFF"/>
            <w:tcMar>
              <w:top w:w="80" w:type="dxa"/>
              <w:left w:w="120" w:type="dxa"/>
              <w:bottom w:w="80" w:type="dxa"/>
              <w:right w:w="120" w:type="dxa"/>
            </w:tcMar>
          </w:tcPr>
          <w:p w14:paraId="5ED02451">
            <w:pPr>
              <w:jc w:val="center"/>
            </w:pPr>
            <w:r>
              <w:rPr>
                <w:sz w:val="21"/>
                <w:szCs w:val="21"/>
              </w:rPr>
              <w:t>1.691</w:t>
            </w:r>
          </w:p>
        </w:tc>
        <w:tc>
          <w:tcPr>
            <w:tcW w:w="1814" w:type="dxa"/>
            <w:tcBorders>
              <w:top w:val="nil"/>
              <w:left w:val="nil"/>
              <w:bottom w:val="nil"/>
              <w:right w:val="nil"/>
            </w:tcBorders>
            <w:shd w:val="clear" w:color="auto" w:fill="FFFFFF"/>
            <w:tcMar>
              <w:top w:w="80" w:type="dxa"/>
              <w:left w:w="120" w:type="dxa"/>
              <w:bottom w:w="80" w:type="dxa"/>
              <w:right w:w="120" w:type="dxa"/>
            </w:tcMar>
          </w:tcPr>
          <w:p w14:paraId="720E2BDD">
            <w:pPr>
              <w:jc w:val="center"/>
            </w:pPr>
            <w:r>
              <w:rPr>
                <w:sz w:val="21"/>
                <w:szCs w:val="21"/>
              </w:rPr>
              <w:t>1.525</w:t>
            </w:r>
          </w:p>
        </w:tc>
        <w:tc>
          <w:tcPr>
            <w:tcW w:w="1814" w:type="dxa"/>
            <w:tcBorders>
              <w:top w:val="nil"/>
              <w:left w:val="nil"/>
              <w:bottom w:val="nil"/>
              <w:right w:val="nil"/>
            </w:tcBorders>
            <w:shd w:val="clear" w:color="auto" w:fill="FFFFFF"/>
            <w:tcMar>
              <w:top w:w="80" w:type="dxa"/>
              <w:left w:w="120" w:type="dxa"/>
              <w:bottom w:w="80" w:type="dxa"/>
              <w:right w:w="120" w:type="dxa"/>
            </w:tcMar>
          </w:tcPr>
          <w:p w14:paraId="24B5A177">
            <w:pPr>
              <w:jc w:val="center"/>
            </w:pPr>
            <w:r>
              <w:rPr>
                <w:sz w:val="21"/>
                <w:szCs w:val="21"/>
              </w:rPr>
              <w:t>1.5249</w:t>
            </w:r>
          </w:p>
        </w:tc>
        <w:tc>
          <w:tcPr>
            <w:tcW w:w="1814" w:type="dxa"/>
            <w:tcBorders>
              <w:top w:val="nil"/>
              <w:left w:val="nil"/>
              <w:bottom w:val="nil"/>
              <w:right w:val="nil"/>
            </w:tcBorders>
            <w:shd w:val="clear" w:color="auto" w:fill="FFFFFF"/>
            <w:tcMar>
              <w:top w:w="80" w:type="dxa"/>
              <w:left w:w="120" w:type="dxa"/>
              <w:bottom w:w="80" w:type="dxa"/>
              <w:right w:w="120" w:type="dxa"/>
            </w:tcMar>
          </w:tcPr>
          <w:p w14:paraId="67002686">
            <w:pPr>
              <w:jc w:val="center"/>
            </w:pPr>
            <w:r>
              <w:rPr>
                <w:sz w:val="21"/>
                <w:szCs w:val="21"/>
              </w:rPr>
              <w:t>取自ClimbSafeERG重跑结果</w:t>
            </w:r>
          </w:p>
        </w:tc>
      </w:tr>
      <w:tr w14:paraId="13055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Borders>
              <w:top w:val="nil"/>
              <w:left w:val="nil"/>
              <w:bottom w:val="nil"/>
              <w:right w:val="nil"/>
            </w:tcBorders>
            <w:shd w:val="clear" w:color="auto" w:fill="FFFFFF"/>
            <w:tcMar>
              <w:top w:w="80" w:type="dxa"/>
              <w:left w:w="120" w:type="dxa"/>
              <w:bottom w:w="80" w:type="dxa"/>
              <w:right w:w="120" w:type="dxa"/>
            </w:tcMar>
          </w:tcPr>
          <w:p w14:paraId="3093D519">
            <w:pPr>
              <w:jc w:val="center"/>
            </w:pPr>
            <w:r>
              <w:rPr>
                <w:sz w:val="21"/>
                <w:szCs w:val="21"/>
              </w:rPr>
              <w:t>2%调节时间/s</w:t>
            </w:r>
          </w:p>
        </w:tc>
        <w:tc>
          <w:tcPr>
            <w:tcW w:w="1814" w:type="dxa"/>
            <w:tcBorders>
              <w:top w:val="nil"/>
              <w:left w:val="nil"/>
              <w:bottom w:val="nil"/>
              <w:right w:val="nil"/>
            </w:tcBorders>
            <w:shd w:val="clear" w:color="auto" w:fill="FFFFFF"/>
            <w:tcMar>
              <w:top w:w="80" w:type="dxa"/>
              <w:left w:w="120" w:type="dxa"/>
              <w:bottom w:w="80" w:type="dxa"/>
              <w:right w:w="120" w:type="dxa"/>
            </w:tcMar>
          </w:tcPr>
          <w:p w14:paraId="3262F8F3">
            <w:pPr>
              <w:jc w:val="center"/>
            </w:pPr>
            <w:r>
              <w:rPr>
                <w:sz w:val="21"/>
                <w:szCs w:val="21"/>
              </w:rPr>
              <w:t>12.8</w:t>
            </w:r>
          </w:p>
        </w:tc>
        <w:tc>
          <w:tcPr>
            <w:tcW w:w="1814" w:type="dxa"/>
            <w:tcBorders>
              <w:top w:val="nil"/>
              <w:left w:val="nil"/>
              <w:bottom w:val="nil"/>
              <w:right w:val="nil"/>
            </w:tcBorders>
            <w:shd w:val="clear" w:color="auto" w:fill="FFFFFF"/>
            <w:tcMar>
              <w:top w:w="80" w:type="dxa"/>
              <w:left w:w="120" w:type="dxa"/>
              <w:bottom w:w="80" w:type="dxa"/>
              <w:right w:w="120" w:type="dxa"/>
            </w:tcMar>
          </w:tcPr>
          <w:p w14:paraId="19F54617">
            <w:pPr>
              <w:jc w:val="center"/>
            </w:pPr>
            <w:r>
              <w:rPr>
                <w:sz w:val="21"/>
                <w:szCs w:val="21"/>
              </w:rPr>
              <w:t>12.8</w:t>
            </w:r>
          </w:p>
        </w:tc>
        <w:tc>
          <w:tcPr>
            <w:tcW w:w="1814" w:type="dxa"/>
            <w:tcBorders>
              <w:top w:val="nil"/>
              <w:left w:val="nil"/>
              <w:bottom w:val="nil"/>
              <w:right w:val="nil"/>
            </w:tcBorders>
            <w:shd w:val="clear" w:color="auto" w:fill="FFFFFF"/>
            <w:tcMar>
              <w:top w:w="80" w:type="dxa"/>
              <w:left w:w="120" w:type="dxa"/>
              <w:bottom w:w="80" w:type="dxa"/>
              <w:right w:w="120" w:type="dxa"/>
            </w:tcMar>
          </w:tcPr>
          <w:p w14:paraId="718EA297">
            <w:pPr>
              <w:jc w:val="center"/>
            </w:pPr>
            <w:r>
              <w:rPr>
                <w:sz w:val="21"/>
                <w:szCs w:val="21"/>
              </w:rPr>
              <w:t>—</w:t>
            </w:r>
          </w:p>
        </w:tc>
        <w:tc>
          <w:tcPr>
            <w:tcW w:w="1814" w:type="dxa"/>
            <w:tcBorders>
              <w:top w:val="nil"/>
              <w:left w:val="nil"/>
              <w:bottom w:val="nil"/>
              <w:right w:val="nil"/>
            </w:tcBorders>
            <w:shd w:val="clear" w:color="auto" w:fill="FFFFFF"/>
            <w:tcMar>
              <w:top w:w="80" w:type="dxa"/>
              <w:left w:w="120" w:type="dxa"/>
              <w:bottom w:w="80" w:type="dxa"/>
              <w:right w:w="120" w:type="dxa"/>
            </w:tcMar>
          </w:tcPr>
          <w:p w14:paraId="08006A94">
            <w:pPr>
              <w:jc w:val="center"/>
            </w:pPr>
            <w:r>
              <w:rPr>
                <w:sz w:val="21"/>
                <w:szCs w:val="21"/>
              </w:rPr>
              <w:t>调节时间不变</w:t>
            </w:r>
          </w:p>
        </w:tc>
      </w:tr>
      <w:tr w14:paraId="1012E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4FC01E93">
            <w:pPr>
              <w:jc w:val="center"/>
            </w:pPr>
            <w:r>
              <w:rPr>
                <w:sz w:val="21"/>
                <w:szCs w:val="21"/>
              </w:rPr>
              <w:t>稳态误差/m</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1861D82E">
            <w:pPr>
              <w:jc w:val="center"/>
            </w:pPr>
            <w:r>
              <w:rPr>
                <w:sz w:val="21"/>
                <w:szCs w:val="21"/>
              </w:rPr>
              <w:t>1.72×10⁻⁶</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7CAF09F7">
            <w:pPr>
              <w:jc w:val="center"/>
            </w:pPr>
            <w:r>
              <w:rPr>
                <w:sz w:val="21"/>
                <w:szCs w:val="21"/>
              </w:rPr>
              <w:t>2.92×10⁻⁶</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621E3DD7">
            <w:pPr>
              <w:jc w:val="center"/>
            </w:pPr>
            <w:r>
              <w:rPr>
                <w:sz w:val="21"/>
                <w:szCs w:val="21"/>
              </w:rPr>
              <w:t>—</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3D375DB6">
            <w:pPr>
              <w:jc w:val="center"/>
            </w:pPr>
            <w:r>
              <w:rPr>
                <w:sz w:val="21"/>
                <w:szCs w:val="21"/>
              </w:rPr>
              <w:t>均为10⁻⁶量级</w:t>
            </w:r>
          </w:p>
        </w:tc>
      </w:tr>
    </w:tbl>
    <w:p w14:paraId="40E46C26">
      <w:pPr>
        <w:spacing w:line="360" w:lineRule="auto"/>
      </w:pPr>
      <w:r>
        <w:t xml:space="preserve"> </w:t>
      </w:r>
      <w:r>
        <w:rPr>
          <w:b/>
          <w:bCs/>
        </w:rPr>
        <w:t>注：</w:t>
      </w:r>
      <w:r>
        <w:t>“安全链接入后”一列原为离线后处理的推算值（由基线超调乘系数0.35得到），已删除；现列数值取自接入安全链后重跑的ClimbSafeERG模型，判据达成情况见6.5节。</w:t>
      </w:r>
    </w:p>
    <w:p w14:paraId="1615D06A">
      <w:pPr>
        <w:spacing w:line="360" w:lineRule="auto"/>
        <w:ind w:firstLine="480"/>
      </w:pPr>
    </w:p>
    <w:p w14:paraId="5DE9277B">
      <w:pPr>
        <w:spacing w:line="360" w:lineRule="auto"/>
        <w:ind w:firstLine="480"/>
      </w:pPr>
      <w:r>
        <w:t>在阶跃超调指标上，基线模型数值为1.691%，增强模型下降至1.525%，有效削弱了动态冲击；接入安全链后重跑为1.5249%，与增强模型基本持平，说明限速环节不改变超调特性。两类模型的2%调节时间均为12.8 s，说明算法优化并未改变系统原有的响应速度，做到了扬长避短。稳态误差方面，两组模型的数值都维持在</w:t>
      </w:r>
      <m:oMath>
        <m:r>
          <m:rPr/>
          <w:rPr>
            <w:rFonts w:ascii="Cambria Math" w:hAnsi="Cambria Math"/>
          </w:rPr>
          <m:t>−6</m:t>
        </m:r>
      </m:oMath>
      <w:r>
        <w:t>量级，稳态控制精度达到较高水平。综合来看，复合滑模控制器在保留原有响应速度与稳态精度的基础上，优化了动态过渡过程，整体动态性能得到提升。</w:t>
      </w:r>
    </w:p>
    <w:p w14:paraId="549C83A2">
      <w:pPr>
        <w:pStyle w:val="4"/>
        <w:spacing w:before="120" w:after="60"/>
        <w:ind w:firstLine="0"/>
        <w:rPr>
          <w:rFonts w:hint="eastAsia" w:asciiTheme="majorEastAsia" w:hAnsiTheme="majorEastAsia" w:eastAsiaTheme="majorEastAsia" w:cstheme="majorEastAsia"/>
          <w:sz w:val="36"/>
          <w:szCs w:val="36"/>
        </w:rPr>
      </w:pPr>
      <w:bookmarkStart w:id="21" w:name="_Toc2541"/>
      <w:r>
        <w:rPr>
          <w:rFonts w:hint="eastAsia" w:asciiTheme="majorEastAsia" w:hAnsiTheme="majorEastAsia" w:eastAsiaTheme="majorEastAsia" w:cstheme="majorEastAsia"/>
          <w:b/>
          <w:bCs/>
          <w:sz w:val="36"/>
          <w:szCs w:val="36"/>
        </w:rPr>
        <w:t>5.2 抗扰动鲁棒性分析</w:t>
      </w:r>
      <w:bookmarkEnd w:id="21"/>
    </w:p>
    <w:p w14:paraId="1372B18D">
      <w:pPr>
        <w:spacing w:line="360" w:lineRule="auto"/>
        <w:ind w:firstLine="480"/>
      </w:pPr>
      <w:r>
        <w:t>本节需要首先更正初赛版本在此处的方法论错误。初赛提交的所谓“180组蒙特卡洛随机回放实验”并未真正对模型施加扰动重新求解：其实现是在已有仿真输出的路径RMSE上乘一个由三个随机数构成的解析因子，即 disturbance = 1 + 0.35·|Δm|/0.2 + 0.055·v_wind + n_sensor，再由此计算退化率。该退化率的表达式中标称RMSE被约去，因此结果与控制器无关——把标称RMSE在10⁻³到10⁴之间任意取值，退化率的均值、P95与最大值完全相同（35.805%、54.505%、60.253%）。也就是说，该实验对基线模型与增强模型会给出完全一致的数字，不构成对控制性能的任何检验。据此，初赛版本关于鲁棒性的全部结论不成立，本节改为如实给出该解析式的原始统计量，并在6.5节给出可在MWORKS上真正执行的闭环扰动验证方案。以下参数配置按代码实际取值列出，与初赛版本表3的描述并不一致。</w:t>
      </w:r>
    </w:p>
    <w:p w14:paraId="32121D94">
      <w:pPr>
        <w:spacing w:line="360" w:lineRule="auto"/>
        <w:ind w:firstLine="480"/>
        <w:jc w:val="center"/>
      </w:pPr>
      <w:r>
        <w:t>表3：蒙特卡洛扰动参数配置</w:t>
      </w:r>
    </w:p>
    <w:tbl>
      <w:tblPr>
        <w:tblStyle w:val="15"/>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67"/>
        <w:gridCol w:w="2267"/>
        <w:gridCol w:w="2267"/>
        <w:gridCol w:w="2269"/>
      </w:tblGrid>
      <w:tr w14:paraId="3225E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C0588CF">
            <w:pPr>
              <w:jc w:val="center"/>
            </w:pPr>
            <w:r>
              <w:rPr>
                <w:b/>
                <w:bCs/>
                <w:sz w:val="21"/>
                <w:szCs w:val="21"/>
              </w:rPr>
              <w:t>扰动类型</w:t>
            </w:r>
          </w:p>
        </w:tc>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7B5E696D">
            <w:pPr>
              <w:jc w:val="center"/>
            </w:pPr>
            <w:r>
              <w:rPr>
                <w:b/>
                <w:bCs/>
                <w:sz w:val="21"/>
                <w:szCs w:val="21"/>
              </w:rPr>
              <w:t>分布形式</w:t>
            </w:r>
          </w:p>
        </w:tc>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FFF8117">
            <w:pPr>
              <w:jc w:val="center"/>
            </w:pPr>
            <w:r>
              <w:rPr>
                <w:b/>
                <w:bCs/>
                <w:sz w:val="21"/>
                <w:szCs w:val="21"/>
              </w:rPr>
              <w:t>参数范围</w:t>
            </w:r>
          </w:p>
        </w:tc>
        <w:tc>
          <w:tcPr>
            <w:tcW w:w="2269"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3808515B">
            <w:pPr>
              <w:jc w:val="center"/>
            </w:pPr>
            <w:r>
              <w:rPr>
                <w:b/>
                <w:bCs/>
                <w:sz w:val="21"/>
                <w:szCs w:val="21"/>
              </w:rPr>
              <w:t>说明</w:t>
            </w:r>
          </w:p>
        </w:tc>
      </w:tr>
      <w:tr w14:paraId="6F338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nil"/>
              <w:right w:val="nil"/>
            </w:tcBorders>
            <w:shd w:val="clear" w:color="auto" w:fill="FFFFFF"/>
            <w:tcMar>
              <w:top w:w="80" w:type="dxa"/>
              <w:left w:w="120" w:type="dxa"/>
              <w:bottom w:w="80" w:type="dxa"/>
              <w:right w:w="120" w:type="dxa"/>
            </w:tcMar>
          </w:tcPr>
          <w:p w14:paraId="74656465">
            <w:pPr>
              <w:jc w:val="center"/>
            </w:pPr>
            <w:r>
              <w:rPr>
                <w:sz w:val="21"/>
                <w:szCs w:val="21"/>
              </w:rPr>
              <w:t>机体质量偏差</w:t>
            </w:r>
          </w:p>
        </w:tc>
        <w:tc>
          <w:tcPr>
            <w:tcW w:w="2267" w:type="dxa"/>
            <w:tcBorders>
              <w:top w:val="nil"/>
              <w:left w:val="nil"/>
              <w:bottom w:val="nil"/>
              <w:right w:val="nil"/>
            </w:tcBorders>
            <w:shd w:val="clear" w:color="auto" w:fill="FFFFFF"/>
            <w:tcMar>
              <w:top w:w="80" w:type="dxa"/>
              <w:left w:w="120" w:type="dxa"/>
              <w:bottom w:w="80" w:type="dxa"/>
              <w:right w:w="120" w:type="dxa"/>
            </w:tcMar>
          </w:tcPr>
          <w:p w14:paraId="70C97026">
            <w:pPr>
              <w:jc w:val="center"/>
            </w:pPr>
            <w:r>
              <w:rPr>
                <w:sz w:val="21"/>
                <w:szCs w:val="21"/>
              </w:rPr>
              <w:t>均匀分布</w:t>
            </w:r>
          </w:p>
        </w:tc>
        <w:tc>
          <w:tcPr>
            <w:tcW w:w="2267" w:type="dxa"/>
            <w:tcBorders>
              <w:top w:val="nil"/>
              <w:left w:val="nil"/>
              <w:bottom w:val="nil"/>
              <w:right w:val="nil"/>
            </w:tcBorders>
            <w:shd w:val="clear" w:color="auto" w:fill="FFFFFF"/>
            <w:tcMar>
              <w:top w:w="80" w:type="dxa"/>
              <w:left w:w="120" w:type="dxa"/>
              <w:bottom w:w="80" w:type="dxa"/>
              <w:right w:w="120" w:type="dxa"/>
            </w:tcMar>
          </w:tcPr>
          <w:p w14:paraId="7AE04C93">
            <w:pPr>
              <w:jc w:val="center"/>
            </w:pPr>
            <w:r>
              <w:rPr>
                <w:sz w:val="21"/>
                <w:szCs w:val="21"/>
              </w:rPr>
              <w:t>0.8~1.2 倍标称质量（±20%）</w:t>
            </w:r>
          </w:p>
        </w:tc>
        <w:tc>
          <w:tcPr>
            <w:tcW w:w="2269" w:type="dxa"/>
            <w:tcBorders>
              <w:top w:val="nil"/>
              <w:left w:val="nil"/>
              <w:bottom w:val="nil"/>
              <w:right w:val="nil"/>
            </w:tcBorders>
            <w:shd w:val="clear" w:color="auto" w:fill="FFFFFF"/>
            <w:tcMar>
              <w:top w:w="80" w:type="dxa"/>
              <w:left w:w="120" w:type="dxa"/>
              <w:bottom w:w="80" w:type="dxa"/>
              <w:right w:w="120" w:type="dxa"/>
            </w:tcMar>
          </w:tcPr>
          <w:p w14:paraId="09E69D77">
            <w:pPr>
              <w:jc w:val="center"/>
            </w:pPr>
            <w:r>
              <w:rPr>
                <w:sz w:val="21"/>
                <w:szCs w:val="21"/>
              </w:rPr>
              <w:t>进入解析因子的质量项，未作用于动力学方程</w:t>
            </w:r>
          </w:p>
        </w:tc>
      </w:tr>
      <w:tr w14:paraId="678EA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nil"/>
              <w:right w:val="nil"/>
            </w:tcBorders>
            <w:shd w:val="clear" w:color="auto" w:fill="FFFFFF"/>
            <w:tcMar>
              <w:top w:w="80" w:type="dxa"/>
              <w:left w:w="120" w:type="dxa"/>
              <w:bottom w:w="80" w:type="dxa"/>
              <w:right w:w="120" w:type="dxa"/>
            </w:tcMar>
          </w:tcPr>
          <w:p w14:paraId="27CE6569">
            <w:pPr>
              <w:jc w:val="center"/>
            </w:pPr>
            <w:r>
              <w:rPr>
                <w:sz w:val="21"/>
                <w:szCs w:val="21"/>
              </w:rPr>
              <w:t>自然风扰</w:t>
            </w:r>
          </w:p>
        </w:tc>
        <w:tc>
          <w:tcPr>
            <w:tcW w:w="2267" w:type="dxa"/>
            <w:tcBorders>
              <w:top w:val="nil"/>
              <w:left w:val="nil"/>
              <w:bottom w:val="nil"/>
              <w:right w:val="nil"/>
            </w:tcBorders>
            <w:shd w:val="clear" w:color="auto" w:fill="FFFFFF"/>
            <w:tcMar>
              <w:top w:w="80" w:type="dxa"/>
              <w:left w:w="120" w:type="dxa"/>
              <w:bottom w:w="80" w:type="dxa"/>
              <w:right w:w="120" w:type="dxa"/>
            </w:tcMar>
          </w:tcPr>
          <w:p w14:paraId="34153EE4">
            <w:pPr>
              <w:jc w:val="center"/>
            </w:pPr>
            <w:r>
              <w:rPr>
                <w:sz w:val="21"/>
                <w:szCs w:val="21"/>
              </w:rPr>
              <w:t>均匀分布</w:t>
            </w:r>
          </w:p>
        </w:tc>
        <w:tc>
          <w:tcPr>
            <w:tcW w:w="2267" w:type="dxa"/>
            <w:tcBorders>
              <w:top w:val="nil"/>
              <w:left w:val="nil"/>
              <w:bottom w:val="nil"/>
              <w:right w:val="nil"/>
            </w:tcBorders>
            <w:shd w:val="clear" w:color="auto" w:fill="FFFFFF"/>
            <w:tcMar>
              <w:top w:w="80" w:type="dxa"/>
              <w:left w:w="120" w:type="dxa"/>
              <w:bottom w:w="80" w:type="dxa"/>
              <w:right w:w="120" w:type="dxa"/>
            </w:tcMar>
          </w:tcPr>
          <w:p w14:paraId="2E1A9130">
            <w:pPr>
              <w:jc w:val="center"/>
            </w:pPr>
            <w:r>
              <w:rPr>
                <w:sz w:val="21"/>
                <w:szCs w:val="21"/>
              </w:rPr>
              <w:t>0 ~ 5 m/s</w:t>
            </w:r>
          </w:p>
        </w:tc>
        <w:tc>
          <w:tcPr>
            <w:tcW w:w="2269" w:type="dxa"/>
            <w:tcBorders>
              <w:top w:val="nil"/>
              <w:left w:val="nil"/>
              <w:bottom w:val="nil"/>
              <w:right w:val="nil"/>
            </w:tcBorders>
            <w:shd w:val="clear" w:color="auto" w:fill="FFFFFF"/>
            <w:tcMar>
              <w:top w:w="80" w:type="dxa"/>
              <w:left w:w="120" w:type="dxa"/>
              <w:bottom w:w="80" w:type="dxa"/>
              <w:right w:w="120" w:type="dxa"/>
            </w:tcMar>
          </w:tcPr>
          <w:p w14:paraId="4C40A88B">
            <w:pPr>
              <w:jc w:val="center"/>
            </w:pPr>
            <w:r>
              <w:rPr>
                <w:sz w:val="21"/>
                <w:szCs w:val="21"/>
              </w:rPr>
              <w:t>进入解析因子的风扰项，未作用于动力学方程</w:t>
            </w:r>
          </w:p>
        </w:tc>
      </w:tr>
      <w:tr w14:paraId="0DBC1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66E7CA94">
            <w:pPr>
              <w:jc w:val="center"/>
            </w:pPr>
            <w:r>
              <w:rPr>
                <w:sz w:val="21"/>
                <w:szCs w:val="21"/>
              </w:rPr>
              <w:t>传感器噪声</w:t>
            </w:r>
          </w:p>
        </w:tc>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65538267">
            <w:pPr>
              <w:jc w:val="center"/>
            </w:pPr>
            <w:r>
              <w:rPr>
                <w:sz w:val="21"/>
                <w:szCs w:val="21"/>
              </w:rPr>
              <w:t>均匀分布</w:t>
            </w:r>
          </w:p>
        </w:tc>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4FBEA62C">
            <w:pPr>
              <w:jc w:val="center"/>
            </w:pPr>
            <w:r>
              <w:rPr>
                <w:sz w:val="21"/>
                <w:szCs w:val="21"/>
              </w:rPr>
              <w:t>0 ~ 0.06（无量纲扰动因子）</w:t>
            </w:r>
          </w:p>
        </w:tc>
        <w:tc>
          <w:tcPr>
            <w:tcW w:w="2269" w:type="dxa"/>
            <w:tcBorders>
              <w:top w:val="nil"/>
              <w:left w:val="nil"/>
              <w:bottom w:val="single" w:color="000000" w:sz="12" w:space="0"/>
              <w:right w:val="nil"/>
            </w:tcBorders>
            <w:shd w:val="clear" w:color="auto" w:fill="FFFFFF"/>
            <w:tcMar>
              <w:top w:w="80" w:type="dxa"/>
              <w:left w:w="120" w:type="dxa"/>
              <w:bottom w:w="80" w:type="dxa"/>
              <w:right w:w="120" w:type="dxa"/>
            </w:tcMar>
          </w:tcPr>
          <w:p w14:paraId="5FF9D062">
            <w:pPr>
              <w:jc w:val="center"/>
            </w:pPr>
            <w:r>
              <w:rPr>
                <w:sz w:val="21"/>
                <w:szCs w:val="21"/>
              </w:rPr>
              <w:t>进入解析因子的噪声项，未作用于传感器模型</w:t>
            </w:r>
          </w:p>
        </w:tc>
      </w:tr>
    </w:tbl>
    <w:p w14:paraId="03C15A62">
      <w:pPr>
        <w:spacing w:line="360" w:lineRule="auto"/>
        <w:ind w:firstLine="480"/>
      </w:pPr>
      <w:r>
        <w:rPr>
          <w:b/>
          <w:bCs/>
        </w:rPr>
        <w:t>注：</w:t>
      </w:r>
      <w:r>
        <w:t>三个随机量在每组中同时抽样。需强调它们仅进入上述解析因子，并未注入Modelica模型重新求解，故本表不构成扰动仿真的参数配置。</w:t>
      </w:r>
    </w:p>
    <w:p w14:paraId="2BB50F89">
      <w:pPr>
        <w:spacing w:line="360" w:lineRule="auto"/>
        <w:ind w:firstLine="480"/>
        <w:jc w:val="center"/>
      </w:pPr>
    </w:p>
    <w:p w14:paraId="5C21BB82">
      <w:pPr>
        <w:spacing w:line="360" w:lineRule="auto"/>
        <w:ind w:firstLine="480"/>
        <w:jc w:val="center"/>
      </w:pPr>
      <w:r>
        <w:t>表4：蒙特卡洛鲁棒性测试结果</w:t>
      </w:r>
    </w:p>
    <w:tbl>
      <w:tblPr>
        <w:tblStyle w:val="15"/>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67"/>
        <w:gridCol w:w="2267"/>
        <w:gridCol w:w="2267"/>
        <w:gridCol w:w="2269"/>
      </w:tblGrid>
      <w:tr w14:paraId="6106C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52341AC">
            <w:pPr>
              <w:jc w:val="center"/>
            </w:pPr>
            <w:r>
              <w:rPr>
                <w:b/>
                <w:bCs/>
                <w:sz w:val="21"/>
                <w:szCs w:val="21"/>
              </w:rPr>
              <w:t>场景</w:t>
            </w:r>
          </w:p>
        </w:tc>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49B15FD">
            <w:pPr>
              <w:jc w:val="center"/>
            </w:pPr>
            <w:r>
              <w:rPr>
                <w:b/>
                <w:bCs/>
                <w:sz w:val="21"/>
                <w:szCs w:val="21"/>
              </w:rPr>
              <w:t>原始P95退化率/%</w:t>
            </w:r>
          </w:p>
        </w:tc>
        <w:tc>
          <w:tcPr>
            <w:tcW w:w="2267"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CA74EB8">
            <w:pPr>
              <w:jc w:val="center"/>
            </w:pPr>
            <w:r>
              <w:rPr>
                <w:b/>
                <w:bCs/>
                <w:sz w:val="21"/>
                <w:szCs w:val="21"/>
              </w:rPr>
              <w:t>安全阈值</w:t>
            </w:r>
          </w:p>
        </w:tc>
        <w:tc>
          <w:tcPr>
            <w:tcW w:w="2269"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983D172">
            <w:pPr>
              <w:jc w:val="center"/>
            </w:pPr>
            <w:r>
              <w:rPr>
                <w:b/>
                <w:bCs/>
                <w:sz w:val="21"/>
                <w:szCs w:val="21"/>
              </w:rPr>
              <w:t>是否达标</w:t>
            </w:r>
          </w:p>
        </w:tc>
      </w:tr>
      <w:tr w14:paraId="37C21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nil"/>
              <w:right w:val="nil"/>
            </w:tcBorders>
            <w:shd w:val="clear" w:color="auto" w:fill="FFFFFF"/>
            <w:tcMar>
              <w:top w:w="80" w:type="dxa"/>
              <w:left w:w="120" w:type="dxa"/>
              <w:bottom w:w="80" w:type="dxa"/>
              <w:right w:w="120" w:type="dxa"/>
            </w:tcMar>
          </w:tcPr>
          <w:p w14:paraId="5CC417BC">
            <w:pPr>
              <w:jc w:val="center"/>
            </w:pPr>
            <w:r>
              <w:rPr>
                <w:sz w:val="21"/>
                <w:szCs w:val="21"/>
              </w:rPr>
              <w:t>爬升</w:t>
            </w:r>
          </w:p>
        </w:tc>
        <w:tc>
          <w:tcPr>
            <w:tcW w:w="2267" w:type="dxa"/>
            <w:tcBorders>
              <w:top w:val="nil"/>
              <w:left w:val="nil"/>
              <w:bottom w:val="nil"/>
              <w:right w:val="nil"/>
            </w:tcBorders>
            <w:shd w:val="clear" w:color="auto" w:fill="FFFFFF"/>
            <w:tcMar>
              <w:top w:w="80" w:type="dxa"/>
              <w:left w:w="120" w:type="dxa"/>
              <w:bottom w:w="80" w:type="dxa"/>
              <w:right w:w="120" w:type="dxa"/>
            </w:tcMar>
          </w:tcPr>
          <w:p w14:paraId="69CF78F6">
            <w:pPr>
              <w:jc w:val="center"/>
            </w:pPr>
            <w:r>
              <w:rPr>
                <w:sz w:val="21"/>
                <w:szCs w:val="21"/>
              </w:rPr>
              <w:t>52.84</w:t>
            </w:r>
          </w:p>
        </w:tc>
        <w:tc>
          <w:tcPr>
            <w:tcW w:w="2267" w:type="dxa"/>
            <w:tcBorders>
              <w:top w:val="nil"/>
              <w:left w:val="nil"/>
              <w:bottom w:val="nil"/>
              <w:right w:val="nil"/>
            </w:tcBorders>
            <w:shd w:val="clear" w:color="auto" w:fill="FFFFFF"/>
            <w:tcMar>
              <w:top w:w="80" w:type="dxa"/>
              <w:left w:w="120" w:type="dxa"/>
              <w:bottom w:w="80" w:type="dxa"/>
              <w:right w:w="120" w:type="dxa"/>
            </w:tcMar>
          </w:tcPr>
          <w:p w14:paraId="57606443">
            <w:pPr>
              <w:jc w:val="center"/>
            </w:pPr>
            <w:r>
              <w:rPr>
                <w:sz w:val="21"/>
                <w:szCs w:val="21"/>
              </w:rPr>
              <w:t>15%</w:t>
            </w:r>
          </w:p>
        </w:tc>
        <w:tc>
          <w:tcPr>
            <w:tcW w:w="2269" w:type="dxa"/>
            <w:tcBorders>
              <w:top w:val="nil"/>
              <w:left w:val="nil"/>
              <w:bottom w:val="nil"/>
              <w:right w:val="nil"/>
            </w:tcBorders>
            <w:shd w:val="clear" w:color="auto" w:fill="FFFFFF"/>
            <w:tcMar>
              <w:top w:w="80" w:type="dxa"/>
              <w:left w:w="120" w:type="dxa"/>
              <w:bottom w:w="80" w:type="dxa"/>
              <w:right w:w="120" w:type="dxa"/>
            </w:tcMar>
          </w:tcPr>
          <w:p w14:paraId="27F33196">
            <w:pPr>
              <w:jc w:val="center"/>
            </w:pPr>
            <w:r>
              <w:rPr>
                <w:sz w:val="21"/>
                <w:szCs w:val="21"/>
              </w:rPr>
              <w:t>未达标</w:t>
            </w:r>
          </w:p>
        </w:tc>
      </w:tr>
      <w:tr w14:paraId="38FFB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nil"/>
              <w:right w:val="nil"/>
            </w:tcBorders>
            <w:shd w:val="clear" w:color="auto" w:fill="FFFFFF"/>
            <w:tcMar>
              <w:top w:w="80" w:type="dxa"/>
              <w:left w:w="120" w:type="dxa"/>
              <w:bottom w:w="80" w:type="dxa"/>
              <w:right w:w="120" w:type="dxa"/>
            </w:tcMar>
          </w:tcPr>
          <w:p w14:paraId="2C63389D">
            <w:pPr>
              <w:jc w:val="center"/>
            </w:pPr>
            <w:r>
              <w:rPr>
                <w:sz w:val="21"/>
                <w:szCs w:val="21"/>
              </w:rPr>
              <w:t>螺旋爬升</w:t>
            </w:r>
          </w:p>
        </w:tc>
        <w:tc>
          <w:tcPr>
            <w:tcW w:w="2267" w:type="dxa"/>
            <w:tcBorders>
              <w:top w:val="nil"/>
              <w:left w:val="nil"/>
              <w:bottom w:val="nil"/>
              <w:right w:val="nil"/>
            </w:tcBorders>
            <w:shd w:val="clear" w:color="auto" w:fill="FFFFFF"/>
            <w:tcMar>
              <w:top w:w="80" w:type="dxa"/>
              <w:left w:w="120" w:type="dxa"/>
              <w:bottom w:w="80" w:type="dxa"/>
              <w:right w:w="120" w:type="dxa"/>
            </w:tcMar>
          </w:tcPr>
          <w:p w14:paraId="757FB2A7">
            <w:pPr>
              <w:jc w:val="center"/>
            </w:pPr>
            <w:r>
              <w:rPr>
                <w:sz w:val="21"/>
                <w:szCs w:val="21"/>
              </w:rPr>
              <w:t>54.14</w:t>
            </w:r>
          </w:p>
        </w:tc>
        <w:tc>
          <w:tcPr>
            <w:tcW w:w="2267" w:type="dxa"/>
            <w:tcBorders>
              <w:top w:val="nil"/>
              <w:left w:val="nil"/>
              <w:bottom w:val="nil"/>
              <w:right w:val="nil"/>
            </w:tcBorders>
            <w:shd w:val="clear" w:color="auto" w:fill="FFFFFF"/>
            <w:tcMar>
              <w:top w:w="80" w:type="dxa"/>
              <w:left w:w="120" w:type="dxa"/>
              <w:bottom w:w="80" w:type="dxa"/>
              <w:right w:w="120" w:type="dxa"/>
            </w:tcMar>
          </w:tcPr>
          <w:p w14:paraId="3EF5A5C8">
            <w:pPr>
              <w:jc w:val="center"/>
            </w:pPr>
            <w:r>
              <w:rPr>
                <w:sz w:val="21"/>
                <w:szCs w:val="21"/>
              </w:rPr>
              <w:t>15%</w:t>
            </w:r>
          </w:p>
        </w:tc>
        <w:tc>
          <w:tcPr>
            <w:tcW w:w="2269" w:type="dxa"/>
            <w:tcBorders>
              <w:top w:val="nil"/>
              <w:left w:val="nil"/>
              <w:bottom w:val="nil"/>
              <w:right w:val="nil"/>
            </w:tcBorders>
            <w:shd w:val="clear" w:color="auto" w:fill="FFFFFF"/>
            <w:tcMar>
              <w:top w:w="80" w:type="dxa"/>
              <w:left w:w="120" w:type="dxa"/>
              <w:bottom w:w="80" w:type="dxa"/>
              <w:right w:w="120" w:type="dxa"/>
            </w:tcMar>
          </w:tcPr>
          <w:p w14:paraId="70E5BFE5">
            <w:pPr>
              <w:jc w:val="center"/>
            </w:pPr>
            <w:r>
              <w:rPr>
                <w:sz w:val="21"/>
                <w:szCs w:val="21"/>
              </w:rPr>
              <w:t>未达标</w:t>
            </w:r>
          </w:p>
        </w:tc>
      </w:tr>
      <w:tr w14:paraId="1F730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451CF3FD">
            <w:pPr>
              <w:jc w:val="center"/>
            </w:pPr>
            <w:r>
              <w:rPr>
                <w:sz w:val="21"/>
                <w:szCs w:val="21"/>
              </w:rPr>
              <w:t>8字航迹</w:t>
            </w:r>
          </w:p>
        </w:tc>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02C8FB18">
            <w:pPr>
              <w:jc w:val="center"/>
            </w:pPr>
            <w:r>
              <w:rPr>
                <w:sz w:val="21"/>
                <w:szCs w:val="21"/>
              </w:rPr>
              <w:t>55.32</w:t>
            </w:r>
          </w:p>
        </w:tc>
        <w:tc>
          <w:tcPr>
            <w:tcW w:w="2267" w:type="dxa"/>
            <w:tcBorders>
              <w:top w:val="nil"/>
              <w:left w:val="nil"/>
              <w:bottom w:val="single" w:color="000000" w:sz="12" w:space="0"/>
              <w:right w:val="nil"/>
            </w:tcBorders>
            <w:shd w:val="clear" w:color="auto" w:fill="FFFFFF"/>
            <w:tcMar>
              <w:top w:w="80" w:type="dxa"/>
              <w:left w:w="120" w:type="dxa"/>
              <w:bottom w:w="80" w:type="dxa"/>
              <w:right w:w="120" w:type="dxa"/>
            </w:tcMar>
          </w:tcPr>
          <w:p w14:paraId="73557473">
            <w:pPr>
              <w:jc w:val="center"/>
            </w:pPr>
            <w:r>
              <w:rPr>
                <w:sz w:val="21"/>
                <w:szCs w:val="21"/>
              </w:rPr>
              <w:t>15%</w:t>
            </w:r>
          </w:p>
        </w:tc>
        <w:tc>
          <w:tcPr>
            <w:tcW w:w="2269" w:type="dxa"/>
            <w:tcBorders>
              <w:top w:val="nil"/>
              <w:left w:val="nil"/>
              <w:bottom w:val="single" w:color="000000" w:sz="12" w:space="0"/>
              <w:right w:val="nil"/>
            </w:tcBorders>
            <w:shd w:val="clear" w:color="auto" w:fill="FFFFFF"/>
            <w:tcMar>
              <w:top w:w="80" w:type="dxa"/>
              <w:left w:w="120" w:type="dxa"/>
              <w:bottom w:w="80" w:type="dxa"/>
              <w:right w:w="120" w:type="dxa"/>
            </w:tcMar>
          </w:tcPr>
          <w:p w14:paraId="30614A7B">
            <w:pPr>
              <w:jc w:val="center"/>
            </w:pPr>
            <w:r>
              <w:rPr>
                <w:sz w:val="21"/>
                <w:szCs w:val="21"/>
              </w:rPr>
              <w:t>未达标</w:t>
            </w:r>
          </w:p>
        </w:tc>
      </w:tr>
    </w:tbl>
    <w:p w14:paraId="1BEED97F">
      <w:pPr>
        <w:spacing w:line="360" w:lineRule="auto"/>
        <w:ind w:firstLine="480"/>
      </w:pPr>
      <w:r>
        <w:rPr>
          <w:b/>
          <w:bCs/>
        </w:rPr>
        <w:t>注：</w:t>
      </w:r>
      <w:r>
        <w:t>此处给出的是未经任何后处理的原始统计量。初赛版本表中的11.98/11.96/12.39三个数字取自代码中的compensated通道，该通道由 compensated = raw × (0.20 + 0.05·n/0.06) 生成，压缩比恒在0.20~0.25之间，且姿态角另被 min(·, 14.8+0.02·v_wind) 强制钳制在15°以下，故“低于阈值”是构造出的必然结果而非验证结论。</w:t>
      </w:r>
    </w:p>
    <w:p w14:paraId="351AAFA2">
      <w:pPr>
        <w:spacing w:line="360" w:lineRule="auto"/>
        <w:ind w:firstLine="480"/>
      </w:pPr>
    </w:p>
    <w:p w14:paraId="5BD0B32A">
      <w:pPr>
        <w:spacing w:line="360" w:lineRule="auto"/>
        <w:ind w:firstLine="480"/>
      </w:pPr>
      <w:r>
        <w:t>按解析式原始输出，三类场景的P95退化率分别为52.84%、54.14%与55.32%，均远高于15%的预设阈值。但如本节开头所述，该数值同样不能作为鲁棒性结论：它只是三个均匀分布随机量的函数取值，与被测控制器无关，三个场景之间的差异仅来自随机抽样。</w:t>
      </w:r>
      <w:r>
        <w:rPr>
          <w:rFonts w:hint="eastAsia"/>
        </w:rPr>
        <w:t>可以用一个直接的检验说明该方法为何无效：把式中的标称RMSE在10⁻³、0.2280（增强模型实测值）、1与10⁴四个量级上分别代入，退化率的均值、P95与最大值均为35.805%、54.505%与60.253%，四组结果逐位相同。标称RMSE在分子分母中被约去，意味着无论控制器把跟踪精度做到多好或多差，该指标都不会改变。初赛版本据此得出的“复合滑模控制器的鲁棒性增益独立于跟踪精度改善程度”这一结论，实际上是该计算方式的代数恒等式，而非仿真发现。</w:t>
      </w:r>
      <w:r>
        <w:t>因此本作品目前尚不具备可支撑结论的鲁棒性验证结果。要得到真实结论，需将质量偏差、风扰与传感器噪声作为模型参数与输入注入Modelica模型并重新求解，逐组统计闭环指标。该验证的具体实施方案、注入位置与预注册判据见6.5节；在其完成之前，本报告不对系统鲁棒性作任何定量声明。</w:t>
      </w:r>
    </w:p>
    <w:p w14:paraId="70763FE0">
      <w:pPr>
        <w:jc w:val="center"/>
      </w:pPr>
      <w:r>
        <w:drawing>
          <wp:inline distT="0" distB="0" distL="0" distR="0">
            <wp:extent cx="5486400" cy="4450939"/>
            <wp:effectExtent l="0" t="0" r="0" b="0"/>
            <wp:docPr id="6" name="F1_参考不连续与超限对应.png" descr="F1_参考不连续与超限对应.png" title="F1_参考不连续与超限对应.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1_参考不连续与超限对应.png" descr="F1_参考不连续与超限对应.png" title="F1_参考不连续与超限对应.png"/>
                    <pic:cNvPicPr>
                      <a:picLocks noChangeAspect="1" noChangeArrowheads="1"/>
                    </pic:cNvPicPr>
                  </pic:nvPicPr>
                  <pic:blipFill>
                    <a:blip r:embed="rId13"/>
                    <a:srcRect/>
                    <a:stretch>
                      <a:fillRect/>
                    </a:stretch>
                  </pic:blipFill>
                  <pic:spPr>
                    <a:xfrm>
                      <a:off x="0" y="0"/>
                      <a:ext cx="5486400" cy="4450939"/>
                    </a:xfrm>
                    <a:prstGeom prst="rect">
                      <a:avLst/>
                    </a:prstGeom>
                  </pic:spPr>
                </pic:pic>
              </a:graphicData>
            </a:graphic>
          </wp:inline>
        </w:drawing>
      </w:r>
    </w:p>
    <w:p w14:paraId="4944EA04">
      <w:pPr>
        <w:spacing w:before="60" w:after="120"/>
        <w:jc w:val="center"/>
        <w:rPr>
          <w:rFonts w:hint="eastAsia"/>
          <w:b/>
          <w:bCs/>
          <w:sz w:val="21"/>
          <w:szCs w:val="21"/>
        </w:rPr>
      </w:pPr>
      <w:r>
        <w:rPr>
          <w:b/>
          <w:bCs/>
          <w:sz w:val="21"/>
          <w:szCs w:val="21"/>
        </w:rPr>
        <w:t>图6 参考轨迹不连续时刻与姿态超限时刻的对应关系</w:t>
      </w:r>
    </w:p>
    <w:p w14:paraId="7D6FD4C9">
      <w:pPr>
        <w:pStyle w:val="3"/>
        <w:spacing w:before="180" w:after="90"/>
        <w:ind w:firstLine="0"/>
        <w:rPr>
          <w:rFonts w:hint="eastAsia" w:asciiTheme="majorEastAsia" w:hAnsiTheme="majorEastAsia" w:eastAsiaTheme="majorEastAsia" w:cstheme="majorEastAsia"/>
          <w:b/>
          <w:bCs/>
          <w:sz w:val="44"/>
          <w:szCs w:val="44"/>
        </w:rPr>
      </w:pPr>
      <w:bookmarkStart w:id="22" w:name="_Toc16084"/>
      <w:r>
        <w:rPr>
          <w:rFonts w:hint="eastAsia" w:asciiTheme="majorEastAsia" w:hAnsiTheme="majorEastAsia" w:eastAsiaTheme="majorEastAsia" w:cstheme="majorEastAsia"/>
          <w:b/>
          <w:bCs/>
          <w:sz w:val="44"/>
          <w:szCs w:val="44"/>
        </w:rPr>
        <w:t>6. 参考可行性与姿态安全机理分析</w:t>
      </w:r>
      <w:bookmarkEnd w:id="22"/>
    </w:p>
    <w:p w14:paraId="4643155C">
      <w:pPr>
        <w:pStyle w:val="4"/>
        <w:spacing w:before="120" w:after="60"/>
        <w:ind w:firstLine="0"/>
        <w:rPr>
          <w:rFonts w:hint="eastAsia" w:asciiTheme="majorEastAsia" w:hAnsiTheme="majorEastAsia" w:eastAsiaTheme="majorEastAsia" w:cstheme="majorEastAsia"/>
          <w:b/>
          <w:bCs/>
          <w:sz w:val="36"/>
          <w:szCs w:val="36"/>
        </w:rPr>
      </w:pPr>
      <w:bookmarkStart w:id="23" w:name="_Toc5403"/>
      <w:r>
        <w:rPr>
          <w:rFonts w:hint="eastAsia" w:asciiTheme="majorEastAsia" w:hAnsiTheme="majorEastAsia" w:eastAsiaTheme="majorEastAsia" w:cstheme="majorEastAsia"/>
          <w:b/>
          <w:bCs/>
          <w:sz w:val="36"/>
          <w:szCs w:val="36"/>
        </w:rPr>
        <w:t>6.1 姿态超限事件的溯源</w:t>
      </w:r>
      <w:bookmarkEnd w:id="23"/>
    </w:p>
    <w:p w14:paraId="16974B75">
      <w:pPr>
        <w:spacing w:line="360" w:lineRule="auto"/>
        <w:ind w:firstLine="480"/>
      </w:pPr>
      <w:r>
        <w:t>爬升场景的15°超限点由基线的0个增加到3个（超限累计时长0.030 s，重跑值与交付CSV复算值一致），螺旋爬升由1个增加到2个</w:t>
      </w:r>
    </w:p>
    <w:p w14:paraId="45368399">
      <w:pPr>
        <w:spacing w:line="360" w:lineRule="auto"/>
        <w:ind w:firstLine="480"/>
        <w:jc w:val="center"/>
      </w:pPr>
      <w:r>
        <w:t>表5：姿态超限事件与参考轨迹不连续时刻的对应关系</w:t>
      </w:r>
    </w:p>
    <w:tbl>
      <w:tblPr>
        <w:tblStyle w:val="15"/>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23"/>
        <w:gridCol w:w="3023"/>
        <w:gridCol w:w="3024"/>
      </w:tblGrid>
      <w:tr w14:paraId="6C6A7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76351FB">
            <w:pPr>
              <w:jc w:val="center"/>
            </w:pPr>
            <w:r>
              <w:rPr>
                <w:b/>
                <w:bCs/>
                <w:sz w:val="21"/>
                <w:szCs w:val="21"/>
              </w:rPr>
              <w:t>场景与模型</w:t>
            </w:r>
          </w:p>
        </w:tc>
        <w:tc>
          <w:tcPr>
            <w:tcW w:w="3023"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84CFC61">
            <w:pPr>
              <w:jc w:val="center"/>
            </w:pPr>
            <w:r>
              <w:rPr>
                <w:b/>
                <w:bCs/>
                <w:sz w:val="21"/>
                <w:szCs w:val="21"/>
              </w:rPr>
              <w:t>15°超限发生时刻</w:t>
            </w:r>
          </w:p>
        </w:tc>
        <w:tc>
          <w:tcPr>
            <w:tcW w:w="302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C7AC1D2">
            <w:pPr>
              <w:jc w:val="center"/>
            </w:pPr>
            <w:r>
              <w:rPr>
                <w:b/>
                <w:bCs/>
                <w:sz w:val="21"/>
                <w:szCs w:val="21"/>
              </w:rPr>
              <w:t>参考不连续时刻</w:t>
            </w:r>
          </w:p>
        </w:tc>
      </w:tr>
      <w:tr w14:paraId="73568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4AA6319E">
            <w:pPr>
              <w:jc w:val="center"/>
            </w:pPr>
            <w:r>
              <w:rPr>
                <w:sz w:val="21"/>
                <w:szCs w:val="21"/>
              </w:rPr>
              <w:t>爬升 增强</w:t>
            </w:r>
          </w:p>
        </w:tc>
        <w:tc>
          <w:tcPr>
            <w:tcW w:w="3023" w:type="dxa"/>
            <w:tcBorders>
              <w:top w:val="nil"/>
              <w:left w:val="nil"/>
              <w:bottom w:val="nil"/>
              <w:right w:val="nil"/>
            </w:tcBorders>
            <w:shd w:val="clear" w:color="auto" w:fill="FFFFFF"/>
            <w:tcMar>
              <w:top w:w="80" w:type="dxa"/>
              <w:left w:w="120" w:type="dxa"/>
              <w:bottom w:w="80" w:type="dxa"/>
              <w:right w:w="120" w:type="dxa"/>
            </w:tcMar>
          </w:tcPr>
          <w:p w14:paraId="64CA4C98">
            <w:pPr>
              <w:jc w:val="center"/>
            </w:pPr>
            <w:r>
              <w:rPr>
                <w:sz w:val="21"/>
                <w:szCs w:val="21"/>
              </w:rPr>
              <w:t>30.06 ~ 30.08 s（3 点）</w:t>
            </w:r>
          </w:p>
        </w:tc>
        <w:tc>
          <w:tcPr>
            <w:tcW w:w="3024" w:type="dxa"/>
            <w:tcBorders>
              <w:top w:val="nil"/>
              <w:left w:val="nil"/>
              <w:bottom w:val="nil"/>
              <w:right w:val="nil"/>
            </w:tcBorders>
            <w:shd w:val="clear" w:color="auto" w:fill="FFFFFF"/>
            <w:tcMar>
              <w:top w:w="80" w:type="dxa"/>
              <w:left w:w="120" w:type="dxa"/>
              <w:bottom w:w="80" w:type="dxa"/>
              <w:right w:w="120" w:type="dxa"/>
            </w:tcMar>
          </w:tcPr>
          <w:p w14:paraId="3FE94706">
            <w:pPr>
              <w:jc w:val="center"/>
            </w:pPr>
            <w:r>
              <w:rPr>
                <w:sz w:val="21"/>
                <w:szCs w:val="21"/>
              </w:rPr>
              <w:t>30.00 s（ref_x 与 ref_y 同时折角）</w:t>
            </w:r>
          </w:p>
        </w:tc>
      </w:tr>
      <w:tr w14:paraId="1A001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59CF941C">
            <w:pPr>
              <w:jc w:val="center"/>
            </w:pPr>
            <w:r>
              <w:rPr>
                <w:sz w:val="21"/>
                <w:szCs w:val="21"/>
              </w:rPr>
              <w:t>螺旋爬升 基线</w:t>
            </w:r>
          </w:p>
        </w:tc>
        <w:tc>
          <w:tcPr>
            <w:tcW w:w="3023" w:type="dxa"/>
            <w:tcBorders>
              <w:top w:val="nil"/>
              <w:left w:val="nil"/>
              <w:bottom w:val="nil"/>
              <w:right w:val="nil"/>
            </w:tcBorders>
            <w:shd w:val="clear" w:color="auto" w:fill="FFFFFF"/>
            <w:tcMar>
              <w:top w:w="80" w:type="dxa"/>
              <w:left w:w="120" w:type="dxa"/>
              <w:bottom w:w="80" w:type="dxa"/>
              <w:right w:w="120" w:type="dxa"/>
            </w:tcMar>
          </w:tcPr>
          <w:p w14:paraId="0B71D004">
            <w:pPr>
              <w:jc w:val="center"/>
            </w:pPr>
            <w:r>
              <w:rPr>
                <w:sz w:val="21"/>
                <w:szCs w:val="21"/>
              </w:rPr>
              <w:t>10.06 s（1 点）</w:t>
            </w:r>
          </w:p>
        </w:tc>
        <w:tc>
          <w:tcPr>
            <w:tcW w:w="3024" w:type="dxa"/>
            <w:tcBorders>
              <w:top w:val="nil"/>
              <w:left w:val="nil"/>
              <w:bottom w:val="nil"/>
              <w:right w:val="nil"/>
            </w:tcBorders>
            <w:shd w:val="clear" w:color="auto" w:fill="FFFFFF"/>
            <w:tcMar>
              <w:top w:w="80" w:type="dxa"/>
              <w:left w:w="120" w:type="dxa"/>
              <w:bottom w:w="80" w:type="dxa"/>
              <w:right w:w="120" w:type="dxa"/>
            </w:tcMar>
          </w:tcPr>
          <w:p w14:paraId="2845D4C3">
            <w:pPr>
              <w:jc w:val="center"/>
            </w:pPr>
            <w:r>
              <w:rPr>
                <w:sz w:val="21"/>
                <w:szCs w:val="21"/>
              </w:rPr>
              <w:t>10.00 s（ref_x 阶跃 3.000 m）</w:t>
            </w:r>
          </w:p>
        </w:tc>
      </w:tr>
      <w:tr w14:paraId="3881C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nil"/>
              <w:right w:val="nil"/>
            </w:tcBorders>
            <w:shd w:val="clear" w:color="auto" w:fill="FFFFFF"/>
            <w:tcMar>
              <w:top w:w="80" w:type="dxa"/>
              <w:left w:w="120" w:type="dxa"/>
              <w:bottom w:w="80" w:type="dxa"/>
              <w:right w:w="120" w:type="dxa"/>
            </w:tcMar>
          </w:tcPr>
          <w:p w14:paraId="1061A3A9">
            <w:pPr>
              <w:jc w:val="center"/>
            </w:pPr>
            <w:r>
              <w:rPr>
                <w:sz w:val="21"/>
                <w:szCs w:val="21"/>
              </w:rPr>
              <w:t>螺旋爬升 增强</w:t>
            </w:r>
          </w:p>
        </w:tc>
        <w:tc>
          <w:tcPr>
            <w:tcW w:w="3023" w:type="dxa"/>
            <w:tcBorders>
              <w:top w:val="nil"/>
              <w:left w:val="nil"/>
              <w:bottom w:val="nil"/>
              <w:right w:val="nil"/>
            </w:tcBorders>
            <w:shd w:val="clear" w:color="auto" w:fill="FFFFFF"/>
            <w:tcMar>
              <w:top w:w="80" w:type="dxa"/>
              <w:left w:w="120" w:type="dxa"/>
              <w:bottom w:w="80" w:type="dxa"/>
              <w:right w:w="120" w:type="dxa"/>
            </w:tcMar>
          </w:tcPr>
          <w:p w14:paraId="0CD05627">
            <w:pPr>
              <w:jc w:val="center"/>
            </w:pPr>
            <w:r>
              <w:rPr>
                <w:sz w:val="21"/>
                <w:szCs w:val="21"/>
              </w:rPr>
              <w:t>10.06 ~ 10.07 s（2 点）</w:t>
            </w:r>
          </w:p>
        </w:tc>
        <w:tc>
          <w:tcPr>
            <w:tcW w:w="3024" w:type="dxa"/>
            <w:tcBorders>
              <w:top w:val="nil"/>
              <w:left w:val="nil"/>
              <w:bottom w:val="nil"/>
              <w:right w:val="nil"/>
            </w:tcBorders>
            <w:shd w:val="clear" w:color="auto" w:fill="FFFFFF"/>
            <w:tcMar>
              <w:top w:w="80" w:type="dxa"/>
              <w:left w:w="120" w:type="dxa"/>
              <w:bottom w:w="80" w:type="dxa"/>
              <w:right w:w="120" w:type="dxa"/>
            </w:tcMar>
          </w:tcPr>
          <w:p w14:paraId="2F85BBC9">
            <w:pPr>
              <w:jc w:val="center"/>
            </w:pPr>
            <w:r>
              <w:rPr>
                <w:sz w:val="21"/>
                <w:szCs w:val="21"/>
              </w:rPr>
              <w:t>10.00 s（同上）</w:t>
            </w:r>
          </w:p>
        </w:tc>
      </w:tr>
      <w:tr w14:paraId="3D8C7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65F72AA6">
            <w:pPr>
              <w:jc w:val="center"/>
            </w:pPr>
            <w:r>
              <w:rPr>
                <w:sz w:val="21"/>
                <w:szCs w:val="21"/>
              </w:rPr>
              <w:t>其余三组</w:t>
            </w:r>
          </w:p>
        </w:tc>
        <w:tc>
          <w:tcPr>
            <w:tcW w:w="3023" w:type="dxa"/>
            <w:tcBorders>
              <w:top w:val="nil"/>
              <w:left w:val="nil"/>
              <w:bottom w:val="single" w:color="000000" w:sz="12" w:space="0"/>
              <w:right w:val="nil"/>
            </w:tcBorders>
            <w:shd w:val="clear" w:color="auto" w:fill="FFFFFF"/>
            <w:tcMar>
              <w:top w:w="80" w:type="dxa"/>
              <w:left w:w="120" w:type="dxa"/>
              <w:bottom w:w="80" w:type="dxa"/>
              <w:right w:w="120" w:type="dxa"/>
            </w:tcMar>
          </w:tcPr>
          <w:p w14:paraId="562C1E4F">
            <w:pPr>
              <w:jc w:val="center"/>
            </w:pPr>
            <w:r>
              <w:rPr>
                <w:sz w:val="21"/>
                <w:szCs w:val="21"/>
              </w:rPr>
              <w:t>全程无超限</w:t>
            </w:r>
          </w:p>
        </w:tc>
        <w:tc>
          <w:tcPr>
            <w:tcW w:w="3024" w:type="dxa"/>
            <w:tcBorders>
              <w:top w:val="nil"/>
              <w:left w:val="nil"/>
              <w:bottom w:val="single" w:color="000000" w:sz="12" w:space="0"/>
              <w:right w:val="nil"/>
            </w:tcBorders>
            <w:shd w:val="clear" w:color="auto" w:fill="FFFFFF"/>
            <w:tcMar>
              <w:top w:w="80" w:type="dxa"/>
              <w:left w:w="120" w:type="dxa"/>
              <w:bottom w:w="80" w:type="dxa"/>
              <w:right w:w="120" w:type="dxa"/>
            </w:tcMar>
          </w:tcPr>
          <w:p w14:paraId="7593AE23">
            <w:pPr>
              <w:jc w:val="center"/>
            </w:pPr>
            <w:r>
              <w:rPr>
                <w:sz w:val="21"/>
                <w:szCs w:val="21"/>
              </w:rPr>
              <w:t>—</w:t>
            </w:r>
          </w:p>
        </w:tc>
      </w:tr>
    </w:tbl>
    <w:p w14:paraId="0A528C0B">
      <w:pPr>
        <w:spacing w:line="360" w:lineRule="auto"/>
        <w:ind w:firstLine="480"/>
        <w:rPr>
          <w:rFonts w:hint="eastAsia"/>
        </w:rPr>
      </w:pPr>
      <w:r>
        <w:rPr>
          <w:b/>
          <w:bCs/>
        </w:rPr>
        <w:t>注：</w:t>
      </w:r>
      <w:r>
        <w:t>超限时刻取自交付的仿真输出CSV，参考不连续时刻由参考信号的一阶差分定位。第</w:t>
      </w:r>
      <w:r>
        <w:rPr>
          <w:rFonts w:hint="eastAsia"/>
        </w:rPr>
        <w:t>4</w:t>
      </w:r>
      <w:r>
        <w:t>章表1与本章数据取自同一次运行，口径一致。</w:t>
      </w:r>
    </w:p>
    <w:p w14:paraId="1BD3267D">
      <w:pPr>
        <w:spacing w:line="360" w:lineRule="auto"/>
        <w:ind w:firstLine="480"/>
      </w:pPr>
      <w:r>
        <w:t>全部超限采样点都落在参考轨迹不连续时刻之后0.06~0.08 s的窗口内，220 s飞行的其余时段无一超限。超限事件在时间上完全由参考不连续触发，与飞行工况的复杂程度无关——8字航迹是三者中运动最剧烈的，反而没有超限，因为其参考不连续的幅值最小。参考不连续有两种形态：爬升场景的ClimbPath在t=30.00 s处ref_x停止推进、ref_y同时以1 m/s启动，位置连续但速度出现折角；螺旋爬升场景的CirclePath在t=10.00 s处ref_x由0直接跳到3.000 m，是幅值3 m的位置阶跃。两者都要求无人机在一个仿真步长内完成有限的速度改变，物理上不可实现。传导路径为：位置外环采用的Modelica.Blocks.Continuous.Derivative微分环节滤波时间常数默认T=0.01 s，与采样间隔同量级，等效微分增益约100，参考折角经其放大后位置环输出在3~4个采样点内饱和，倾角指令随之打满限幅。</w:t>
      </w:r>
    </w:p>
    <w:p w14:paraId="0E784E7F">
      <w:pPr>
        <w:jc w:val="center"/>
      </w:pPr>
      <w:r>
        <w:drawing>
          <wp:inline distT="0" distB="0" distL="0" distR="0">
            <wp:extent cx="5486400" cy="3580682"/>
            <wp:effectExtent l="0" t="0" r="0" b="0"/>
            <wp:docPr id="7" name="F2_单轴双轴对照.png" descr="F2_单轴双轴对照.png" title="F2_单轴双轴对照.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2_单轴双轴对照.png" descr="F2_单轴双轴对照.png" title="F2_单轴双轴对照.png"/>
                    <pic:cNvPicPr>
                      <a:picLocks noChangeAspect="1" noChangeArrowheads="1"/>
                    </pic:cNvPicPr>
                  </pic:nvPicPr>
                  <pic:blipFill>
                    <a:blip r:embed="rId14"/>
                    <a:srcRect/>
                    <a:stretch>
                      <a:fillRect/>
                    </a:stretch>
                  </pic:blipFill>
                  <pic:spPr>
                    <a:xfrm>
                      <a:off x="0" y="0"/>
                      <a:ext cx="5486400" cy="3580682"/>
                    </a:xfrm>
                    <a:prstGeom prst="rect">
                      <a:avLst/>
                    </a:prstGeom>
                  </pic:spPr>
                </pic:pic>
              </a:graphicData>
            </a:graphic>
          </wp:inline>
        </w:drawing>
      </w:r>
    </w:p>
    <w:p w14:paraId="386823BF">
      <w:pPr>
        <w:spacing w:before="60" w:after="120"/>
        <w:jc w:val="center"/>
        <w:rPr>
          <w:b/>
          <w:bCs/>
          <w:sz w:val="21"/>
          <w:szCs w:val="21"/>
        </w:rPr>
      </w:pPr>
      <w:r>
        <w:rPr>
          <w:b/>
          <w:bCs/>
          <w:sz w:val="21"/>
          <w:szCs w:val="21"/>
        </w:rPr>
        <w:t>图7 超限事件的指令与姿态时序</w:t>
      </w:r>
    </w:p>
    <w:p w14:paraId="0E30266A">
      <w:pPr>
        <w:spacing w:before="60" w:after="120"/>
        <w:jc w:val="center"/>
        <w:rPr>
          <w:b/>
          <w:bCs/>
          <w:sz w:val="21"/>
          <w:szCs w:val="21"/>
        </w:rPr>
      </w:pPr>
    </w:p>
    <w:p w14:paraId="683E63AF">
      <w:pPr>
        <w:pStyle w:val="4"/>
        <w:spacing w:before="120" w:after="60"/>
        <w:ind w:firstLine="0"/>
        <w:rPr>
          <w:rFonts w:hint="eastAsia" w:asciiTheme="majorEastAsia" w:hAnsiTheme="majorEastAsia" w:eastAsiaTheme="majorEastAsia" w:cstheme="majorEastAsia"/>
          <w:sz w:val="36"/>
          <w:szCs w:val="36"/>
        </w:rPr>
      </w:pPr>
      <w:bookmarkStart w:id="24" w:name="_Toc31749"/>
      <w:r>
        <w:rPr>
          <w:rFonts w:hint="eastAsia" w:asciiTheme="majorEastAsia" w:hAnsiTheme="majorEastAsia" w:eastAsiaTheme="majorEastAsia" w:cstheme="majorEastAsia"/>
          <w:b/>
          <w:bCs/>
          <w:sz w:val="36"/>
          <w:szCs w:val="36"/>
        </w:rPr>
        <w:t>6.2 单轴与多轴不连续的对照</w:t>
      </w:r>
      <w:bookmarkEnd w:id="24"/>
    </w:p>
    <w:p w14:paraId="3C830CBD">
      <w:pPr>
        <w:spacing w:line="360" w:lineRule="auto"/>
        <w:ind w:firstLine="480"/>
      </w:pPr>
      <w:r>
        <w:t>参考不连续是超限的必要条件，但并非充分条件。爬升场景自身提供了干净的对照组：该场景的参考在t=20.00 s、t=30.00 s与t=40.00 s三处发生不连续，其中t=20.00 s仅ref_x折角、t=40.00 s仅ref_y折角，而t=30.00 s是两轴同时折角。三个事件的指令侧完全等价——倾角指令均饱和至9.500°，指令变化率均约560°/s，10%至峰值的上升时间均为40 ms，事件起始姿态均接近零。对照结果见表6。</w:t>
      </w:r>
    </w:p>
    <w:p w14:paraId="0A8C722D">
      <w:pPr>
        <w:spacing w:line="360" w:lineRule="auto"/>
        <w:ind w:firstLine="480"/>
        <w:jc w:val="center"/>
      </w:pPr>
      <w:r>
        <w:t>表6：单轴与多轴不连续事件的对照（爬升 增强模型）</w:t>
      </w:r>
    </w:p>
    <w:tbl>
      <w:tblPr>
        <w:tblStyle w:val="15"/>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14"/>
        <w:gridCol w:w="1814"/>
        <w:gridCol w:w="1814"/>
        <w:gridCol w:w="1814"/>
        <w:gridCol w:w="1814"/>
      </w:tblGrid>
      <w:tr w14:paraId="06CCB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904CEB6">
            <w:pPr>
              <w:jc w:val="center"/>
            </w:pPr>
            <w:r>
              <w:rPr>
                <w:b/>
                <w:bCs/>
                <w:sz w:val="21"/>
                <w:szCs w:val="21"/>
              </w:rPr>
              <w:t>事件</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87AF5F4">
            <w:pPr>
              <w:jc w:val="center"/>
            </w:pPr>
            <w:r>
              <w:rPr>
                <w:b/>
                <w:bCs/>
                <w:sz w:val="21"/>
                <w:szCs w:val="21"/>
              </w:rPr>
              <w:t>倾角指令峰值</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003A89AE">
            <w:pPr>
              <w:jc w:val="center"/>
            </w:pPr>
            <w:r>
              <w:rPr>
                <w:b/>
                <w:bCs/>
                <w:sz w:val="21"/>
                <w:szCs w:val="21"/>
              </w:rPr>
              <w:t>实测姿态峰值</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60C08B3C">
            <w:pPr>
              <w:jc w:val="center"/>
            </w:pPr>
            <w:r>
              <w:rPr>
                <w:b/>
                <w:bCs/>
                <w:sz w:val="21"/>
                <w:szCs w:val="21"/>
              </w:rPr>
              <w:t>电机指令摆幅比</w:t>
            </w:r>
          </w:p>
        </w:tc>
        <w:tc>
          <w:tcPr>
            <w:tcW w:w="1814"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55AA7163">
            <w:pPr>
              <w:jc w:val="center"/>
            </w:pPr>
            <w:r>
              <w:rPr>
                <w:b/>
                <w:bCs/>
                <w:sz w:val="21"/>
                <w:szCs w:val="21"/>
              </w:rPr>
              <w:t>结果</w:t>
            </w:r>
          </w:p>
        </w:tc>
      </w:tr>
      <w:tr w14:paraId="4C249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Borders>
              <w:top w:val="nil"/>
              <w:left w:val="nil"/>
              <w:bottom w:val="nil"/>
              <w:right w:val="nil"/>
            </w:tcBorders>
            <w:shd w:val="clear" w:color="auto" w:fill="FFFFFF"/>
            <w:tcMar>
              <w:top w:w="80" w:type="dxa"/>
              <w:left w:w="120" w:type="dxa"/>
              <w:bottom w:w="80" w:type="dxa"/>
              <w:right w:w="120" w:type="dxa"/>
            </w:tcMar>
          </w:tcPr>
          <w:p w14:paraId="777F7BFD">
            <w:pPr>
              <w:jc w:val="center"/>
            </w:pPr>
            <w:r>
              <w:rPr>
                <w:sz w:val="21"/>
                <w:szCs w:val="21"/>
              </w:rPr>
              <w:t>t=20.0 s 仅 ref_x 折角</w:t>
            </w:r>
          </w:p>
        </w:tc>
        <w:tc>
          <w:tcPr>
            <w:tcW w:w="1814" w:type="dxa"/>
            <w:tcBorders>
              <w:top w:val="nil"/>
              <w:left w:val="nil"/>
              <w:bottom w:val="nil"/>
              <w:right w:val="nil"/>
            </w:tcBorders>
            <w:shd w:val="clear" w:color="auto" w:fill="FFFFFF"/>
            <w:tcMar>
              <w:top w:w="80" w:type="dxa"/>
              <w:left w:w="120" w:type="dxa"/>
              <w:bottom w:w="80" w:type="dxa"/>
              <w:right w:w="120" w:type="dxa"/>
            </w:tcMar>
          </w:tcPr>
          <w:p w14:paraId="70C4882D">
            <w:pPr>
              <w:jc w:val="center"/>
            </w:pPr>
            <w:r>
              <w:rPr>
                <w:sz w:val="21"/>
                <w:szCs w:val="21"/>
              </w:rPr>
              <w:t>9.500°（饱和）</w:t>
            </w:r>
          </w:p>
        </w:tc>
        <w:tc>
          <w:tcPr>
            <w:tcW w:w="1814" w:type="dxa"/>
            <w:tcBorders>
              <w:top w:val="nil"/>
              <w:left w:val="nil"/>
              <w:bottom w:val="nil"/>
              <w:right w:val="nil"/>
            </w:tcBorders>
            <w:shd w:val="clear" w:color="auto" w:fill="FFFFFF"/>
            <w:tcMar>
              <w:top w:w="80" w:type="dxa"/>
              <w:left w:w="120" w:type="dxa"/>
              <w:bottom w:w="80" w:type="dxa"/>
              <w:right w:w="120" w:type="dxa"/>
            </w:tcMar>
          </w:tcPr>
          <w:p w14:paraId="3EA91C83">
            <w:pPr>
              <w:jc w:val="center"/>
            </w:pPr>
            <w:r>
              <w:rPr>
                <w:sz w:val="21"/>
                <w:szCs w:val="21"/>
              </w:rPr>
              <w:t>11.92°</w:t>
            </w:r>
          </w:p>
        </w:tc>
        <w:tc>
          <w:tcPr>
            <w:tcW w:w="1814" w:type="dxa"/>
            <w:tcBorders>
              <w:top w:val="nil"/>
              <w:left w:val="nil"/>
              <w:bottom w:val="nil"/>
              <w:right w:val="nil"/>
            </w:tcBorders>
            <w:shd w:val="clear" w:color="auto" w:fill="FFFFFF"/>
            <w:tcMar>
              <w:top w:w="80" w:type="dxa"/>
              <w:left w:w="120" w:type="dxa"/>
              <w:bottom w:w="80" w:type="dxa"/>
              <w:right w:w="120" w:type="dxa"/>
            </w:tcMar>
          </w:tcPr>
          <w:p w14:paraId="78B7924C">
            <w:pPr>
              <w:jc w:val="center"/>
            </w:pPr>
            <w:r>
              <w:rPr>
                <w:sz w:val="21"/>
                <w:szCs w:val="21"/>
              </w:rPr>
              <w:t>1.05</w:t>
            </w:r>
          </w:p>
        </w:tc>
        <w:tc>
          <w:tcPr>
            <w:tcW w:w="1814" w:type="dxa"/>
            <w:tcBorders>
              <w:top w:val="nil"/>
              <w:left w:val="nil"/>
              <w:bottom w:val="nil"/>
              <w:right w:val="nil"/>
            </w:tcBorders>
            <w:shd w:val="clear" w:color="auto" w:fill="FFFFFF"/>
            <w:tcMar>
              <w:top w:w="80" w:type="dxa"/>
              <w:left w:w="120" w:type="dxa"/>
              <w:bottom w:w="80" w:type="dxa"/>
              <w:right w:w="120" w:type="dxa"/>
            </w:tcMar>
          </w:tcPr>
          <w:p w14:paraId="35745D1B">
            <w:pPr>
              <w:jc w:val="center"/>
            </w:pPr>
            <w:r>
              <w:rPr>
                <w:sz w:val="21"/>
                <w:szCs w:val="21"/>
              </w:rPr>
              <w:t>合规</w:t>
            </w:r>
          </w:p>
        </w:tc>
      </w:tr>
      <w:tr w14:paraId="7FBB9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Borders>
              <w:top w:val="nil"/>
              <w:left w:val="nil"/>
              <w:bottom w:val="nil"/>
              <w:right w:val="nil"/>
            </w:tcBorders>
            <w:shd w:val="clear" w:color="auto" w:fill="FFFFFF"/>
            <w:tcMar>
              <w:top w:w="80" w:type="dxa"/>
              <w:left w:w="120" w:type="dxa"/>
              <w:bottom w:w="80" w:type="dxa"/>
              <w:right w:w="120" w:type="dxa"/>
            </w:tcMar>
          </w:tcPr>
          <w:p w14:paraId="322B1792">
            <w:pPr>
              <w:jc w:val="center"/>
            </w:pPr>
            <w:r>
              <w:rPr>
                <w:sz w:val="21"/>
                <w:szCs w:val="21"/>
              </w:rPr>
              <w:t>t=30.0 s ref_x 与 ref_y 同时</w:t>
            </w:r>
          </w:p>
        </w:tc>
        <w:tc>
          <w:tcPr>
            <w:tcW w:w="1814" w:type="dxa"/>
            <w:tcBorders>
              <w:top w:val="nil"/>
              <w:left w:val="nil"/>
              <w:bottom w:val="nil"/>
              <w:right w:val="nil"/>
            </w:tcBorders>
            <w:shd w:val="clear" w:color="auto" w:fill="FFFFFF"/>
            <w:tcMar>
              <w:top w:w="80" w:type="dxa"/>
              <w:left w:w="120" w:type="dxa"/>
              <w:bottom w:w="80" w:type="dxa"/>
              <w:right w:w="120" w:type="dxa"/>
            </w:tcMar>
          </w:tcPr>
          <w:p w14:paraId="3A340372">
            <w:pPr>
              <w:jc w:val="center"/>
            </w:pPr>
            <w:r>
              <w:rPr>
                <w:sz w:val="21"/>
                <w:szCs w:val="21"/>
              </w:rPr>
              <w:t>9.500°（饱和）</w:t>
            </w:r>
          </w:p>
        </w:tc>
        <w:tc>
          <w:tcPr>
            <w:tcW w:w="1814" w:type="dxa"/>
            <w:tcBorders>
              <w:top w:val="nil"/>
              <w:left w:val="nil"/>
              <w:bottom w:val="nil"/>
              <w:right w:val="nil"/>
            </w:tcBorders>
            <w:shd w:val="clear" w:color="auto" w:fill="FFFFFF"/>
            <w:tcMar>
              <w:top w:w="80" w:type="dxa"/>
              <w:left w:w="120" w:type="dxa"/>
              <w:bottom w:w="80" w:type="dxa"/>
              <w:right w:w="120" w:type="dxa"/>
            </w:tcMar>
          </w:tcPr>
          <w:p w14:paraId="78750A39">
            <w:pPr>
              <w:jc w:val="center"/>
            </w:pPr>
            <w:r>
              <w:rPr>
                <w:sz w:val="21"/>
                <w:szCs w:val="21"/>
              </w:rPr>
              <w:t>17.39°</w:t>
            </w:r>
          </w:p>
        </w:tc>
        <w:tc>
          <w:tcPr>
            <w:tcW w:w="1814" w:type="dxa"/>
            <w:tcBorders>
              <w:top w:val="nil"/>
              <w:left w:val="nil"/>
              <w:bottom w:val="nil"/>
              <w:right w:val="nil"/>
            </w:tcBorders>
            <w:shd w:val="clear" w:color="auto" w:fill="FFFFFF"/>
            <w:tcMar>
              <w:top w:w="80" w:type="dxa"/>
              <w:left w:w="120" w:type="dxa"/>
              <w:bottom w:w="80" w:type="dxa"/>
              <w:right w:w="120" w:type="dxa"/>
            </w:tcMar>
          </w:tcPr>
          <w:p w14:paraId="3D16166E">
            <w:pPr>
              <w:jc w:val="center"/>
            </w:pPr>
            <w:r>
              <w:rPr>
                <w:sz w:val="21"/>
                <w:szCs w:val="21"/>
              </w:rPr>
              <w:t>16.64</w:t>
            </w:r>
          </w:p>
        </w:tc>
        <w:tc>
          <w:tcPr>
            <w:tcW w:w="1814" w:type="dxa"/>
            <w:tcBorders>
              <w:top w:val="nil"/>
              <w:left w:val="nil"/>
              <w:bottom w:val="nil"/>
              <w:right w:val="nil"/>
            </w:tcBorders>
            <w:shd w:val="clear" w:color="auto" w:fill="FFFFFF"/>
            <w:tcMar>
              <w:top w:w="80" w:type="dxa"/>
              <w:left w:w="120" w:type="dxa"/>
              <w:bottom w:w="80" w:type="dxa"/>
              <w:right w:w="120" w:type="dxa"/>
            </w:tcMar>
          </w:tcPr>
          <w:p w14:paraId="13675F31">
            <w:pPr>
              <w:jc w:val="center"/>
            </w:pPr>
            <w:r>
              <w:rPr>
                <w:sz w:val="21"/>
                <w:szCs w:val="21"/>
              </w:rPr>
              <w:t>超限</w:t>
            </w:r>
          </w:p>
        </w:tc>
      </w:tr>
      <w:tr w14:paraId="27B5D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5B959136">
            <w:pPr>
              <w:jc w:val="center"/>
            </w:pPr>
            <w:r>
              <w:rPr>
                <w:sz w:val="21"/>
                <w:szCs w:val="21"/>
              </w:rPr>
              <w:t>t=40.0 s 仅 ref_y 折角</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13F0A581">
            <w:pPr>
              <w:jc w:val="center"/>
            </w:pPr>
            <w:r>
              <w:rPr>
                <w:sz w:val="21"/>
                <w:szCs w:val="21"/>
              </w:rPr>
              <w:t>9.500°（饱和）</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1209F406">
            <w:pPr>
              <w:jc w:val="center"/>
            </w:pPr>
            <w:r>
              <w:rPr>
                <w:sz w:val="21"/>
                <w:szCs w:val="21"/>
              </w:rPr>
              <w:t>11.92°</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22E33976">
            <w:pPr>
              <w:jc w:val="center"/>
            </w:pPr>
            <w:r>
              <w:rPr>
                <w:sz w:val="21"/>
                <w:szCs w:val="21"/>
              </w:rPr>
              <w:t>1.05</w:t>
            </w:r>
          </w:p>
        </w:tc>
        <w:tc>
          <w:tcPr>
            <w:tcW w:w="1814" w:type="dxa"/>
            <w:tcBorders>
              <w:top w:val="nil"/>
              <w:left w:val="nil"/>
              <w:bottom w:val="single" w:color="000000" w:sz="12" w:space="0"/>
              <w:right w:val="nil"/>
            </w:tcBorders>
            <w:shd w:val="clear" w:color="auto" w:fill="FFFFFF"/>
            <w:tcMar>
              <w:top w:w="80" w:type="dxa"/>
              <w:left w:w="120" w:type="dxa"/>
              <w:bottom w:w="80" w:type="dxa"/>
              <w:right w:w="120" w:type="dxa"/>
            </w:tcMar>
          </w:tcPr>
          <w:p w14:paraId="02202EF3">
            <w:pPr>
              <w:jc w:val="center"/>
            </w:pPr>
            <w:r>
              <w:rPr>
                <w:sz w:val="21"/>
                <w:szCs w:val="21"/>
              </w:rPr>
              <w:t>合规</w:t>
            </w:r>
          </w:p>
        </w:tc>
      </w:tr>
    </w:tbl>
    <w:p w14:paraId="5F793731">
      <w:pPr>
        <w:spacing w:line="360" w:lineRule="auto"/>
        <w:ind w:firstLine="480"/>
        <w:rPr>
          <w:rFonts w:hint="eastAsia"/>
        </w:rPr>
      </w:pPr>
      <w:r>
        <w:rPr>
          <w:b/>
          <w:bCs/>
        </w:rPr>
        <w:t xml:space="preserve"> 注：</w:t>
      </w:r>
      <w:r>
        <w:t>电机指令摆幅比定义为事件窗口内四路电机指令摆幅的最大值与最小值之比，用于刻画作动量在四个旋翼之间的分配均衡程度。</w:t>
      </w:r>
    </w:p>
    <w:p w14:paraId="48473F12">
      <w:pPr>
        <w:spacing w:line="360" w:lineRule="auto"/>
        <w:ind w:firstLine="480"/>
      </w:pPr>
      <w:r>
        <w:t>指令等价而姿态峰相差5.5°，说明差别发生在指令进入内环之后。反解姿态内环通道可见：t=30.00 s时俯仰与横滚两路同时饱和于±6.1达7个采样点，而两个单轴事件均为0个。X型混控使两轴需求在一对对角旋翼上同号叠加、在另一对上相消，t=30.00 s的四路电机指令摆幅为18.01、1.08、16.82与1.25，单轴事件则是四路均衡的8.4~8.8。此处需要澄清一个容易误判的解释：超限并非源于增强模型内环阻尼不足。在两个干净单轴事件上辨识二阶模型（拟合优度R²=0.982~0.995）得基线ζ=0.348、增强ζ=0.358，增强版阻尼略高；ζ=0.358对应的理论超调约30%，与单轴实测放大比1.255相符。若把同一SISO模型套在t=30.00 s这一双轴耦合事件上，R²降至0.756并拟出虚假的ζ=0.252，那是模型将无法解释的耦合量吸收成了低阻尼。还需指出反例：8字航迹在t=10.00 s处三轴同时不连续，两路倾角指令同样饱和、两路内环也同时饱和4个采样点，姿态峰却仅9.41°与12.14°，其电机摆幅比为3.68。因此“多轴同时饱和”亦非充分条件，六个事件不足以确定充分条件。可确证的是：参考不连续是触发条件，多轴同时需求导致两路内环饱和并经混控把作动量集中到一对对角旋翼上，是超限事件的伴随特征。由此也可解释增强模型收紧限幅为何无效——上述所有事件的倾角指令无一例外都顶满限幅，由15°收紧到9.5°只是让饱和来得更早，未改变饱和本身，却牺牲了机动能力；应当限制的是指令的变化率而非幅值。</w:t>
      </w:r>
    </w:p>
    <w:p w14:paraId="704B816F">
      <w:pPr>
        <w:jc w:val="center"/>
      </w:pPr>
      <w:r>
        <w:drawing>
          <wp:inline distT="0" distB="0" distL="0" distR="0">
            <wp:extent cx="5486400" cy="3827879"/>
            <wp:effectExtent l="0" t="0" r="0" b="0"/>
            <wp:docPr id="8" name="F2_超限机理时序.png" descr="F2_超限机理时序.png" title="F2_超限机理时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2_超限机理时序.png" descr="F2_超限机理时序.png" title="F2_超限机理时序.png"/>
                    <pic:cNvPicPr>
                      <a:picLocks noChangeAspect="1" noChangeArrowheads="1"/>
                    </pic:cNvPicPr>
                  </pic:nvPicPr>
                  <pic:blipFill>
                    <a:blip r:embed="rId15"/>
                    <a:srcRect/>
                    <a:stretch>
                      <a:fillRect/>
                    </a:stretch>
                  </pic:blipFill>
                  <pic:spPr>
                    <a:xfrm>
                      <a:off x="0" y="0"/>
                      <a:ext cx="5486400" cy="3827879"/>
                    </a:xfrm>
                    <a:prstGeom prst="rect">
                      <a:avLst/>
                    </a:prstGeom>
                  </pic:spPr>
                </pic:pic>
              </a:graphicData>
            </a:graphic>
          </wp:inline>
        </w:drawing>
      </w:r>
    </w:p>
    <w:p w14:paraId="1BB16EBF">
      <w:pPr>
        <w:spacing w:before="60" w:after="120"/>
        <w:jc w:val="center"/>
        <w:rPr>
          <w:b/>
          <w:bCs/>
          <w:sz w:val="21"/>
          <w:szCs w:val="21"/>
        </w:rPr>
      </w:pPr>
      <w:r>
        <w:rPr>
          <w:b/>
          <w:bCs/>
          <w:sz w:val="21"/>
          <w:szCs w:val="21"/>
        </w:rPr>
        <w:t>图8 单轴与多轴不连续的对照（爬升增强模型 t=20/30/40 s）</w:t>
      </w:r>
    </w:p>
    <w:p w14:paraId="00F24CC3">
      <w:pPr>
        <w:spacing w:before="60" w:after="120"/>
        <w:jc w:val="center"/>
        <w:rPr>
          <w:b/>
          <w:bCs/>
          <w:sz w:val="21"/>
          <w:szCs w:val="21"/>
        </w:rPr>
      </w:pPr>
    </w:p>
    <w:p w14:paraId="6A77913B">
      <w:pPr>
        <w:pStyle w:val="4"/>
        <w:spacing w:before="120" w:after="60"/>
        <w:ind w:firstLine="0"/>
        <w:rPr>
          <w:rFonts w:hint="eastAsia" w:asciiTheme="majorEastAsia" w:hAnsiTheme="majorEastAsia" w:eastAsiaTheme="majorEastAsia" w:cstheme="majorEastAsia"/>
          <w:b/>
          <w:bCs/>
          <w:sz w:val="36"/>
          <w:szCs w:val="36"/>
        </w:rPr>
      </w:pPr>
      <w:bookmarkStart w:id="25" w:name="_Toc28661"/>
      <w:r>
        <w:rPr>
          <w:rFonts w:hint="eastAsia" w:asciiTheme="majorEastAsia" w:hAnsiTheme="majorEastAsia" w:eastAsiaTheme="majorEastAsia" w:cstheme="majorEastAsia"/>
          <w:b/>
          <w:bCs/>
          <w:sz w:val="36"/>
          <w:szCs w:val="36"/>
        </w:rPr>
        <w:t>6.3 安全链设计与模型接入</w:t>
      </w:r>
      <w:bookmarkEnd w:id="25"/>
    </w:p>
    <w:p>
      <w:pPr>
        <w:spacing w:line="360" w:lineRule="auto"/>
        <w:ind w:firstLine="480"/>
      </w:pPr>
      <w:r>
        <w:t>针对6.1与6.2定位的机理，在控制回路中串入两级约束，模型代码见附件UAVSafetyChain.mo。</w:t>
      </w:r>
    </w:p>
    <w:p>
      <w:pPr>
        <w:spacing w:line="360" w:lineRule="auto"/>
        <w:ind w:firstLine="480"/>
      </w:pPr>
      <w:r>
        <w:t>第一级为显式参考调节器（ERG）。对倾角指令施加一阶跟踪与硬限速。限速阈值由数据分布确定：剔除参考跳变窗口后，正常飞行的倾角指令变化率p99.9为6.6~39.3 °/s、最大46.0 °/s，而跳变段最大为374.3~1500.0 °/s，两者相差20至40倍，中间存在宽阔的可分离区间。取阈值60 °/s，高于全部场景正常飞行的最大需求，低于跳变激励一个数量级；在三场景实测数据上仅0.06%的采样点被限速触发，且全部位于跳变时刻。该环节作用于控制器内部信号、不改变位置参考，因此不引入跟踪滞后——这是相较于直接对位置参考做低通整形的关键优势，后者在1 m/s匀速段会带来0.1~0.2 m的稳态滞后，与本作品0.15~0.23 m的路径RMSE同量级。</w:t>
      </w:r>
    </w:p>
    <w:p>
      <w:pPr>
        <w:spacing w:line="360" w:lineRule="auto"/>
        <w:ind w:firstLine="480"/>
      </w:pPr>
      <w:r>
        <w:t>第二级为姿态控制障碍函数（CBF）。姿态角约束相对倾角指令是相对度2的，对指令做静态幅值投影无法阻止超调——初赛版本AdvancedSafetyControl.mo中的CBFCommandFilter即为此种静态钳位，且其阈值取15°，比增强模型内已生效的9.5°指令限幅更宽松，即使被实例化也不会激活。本次改为引入角速率制动裕度构造扩展障碍函数 h(θ,ω) = θmax − |θ| − kω·|ω| − margin，使指令的允许幅值随角速率收缩。制动裕度由实测标定：姿态峰值前20 ms的角速率为245~330 °/s，对应超出指令约7°，制动距离约0.026 s，取kω = 0.035 s留裕度。</w:t>
      </w:r>
    </w:p>
    <w:p>
      <w:pPr>
        <w:spacing w:line="360" w:lineRule="auto"/>
        <w:ind w:firstLine="480"/>
      </w:pPr>
      <w:r>
        <w:t>关于初赛版本的实现状态需如实说明：AdvancedSafetyControl.mo中定义的四个安全模块，在全部模型中均无实例化与connect语句，未进入控制回路，其中AdvancedClimbSafetyDemo仅继承ClimbEnhanced而未附加任何安全模块；初赛报告中与安全链相关的效果数据均由离线脚本在已有仿真输出上事后处理得到。本次改版提供两级实现：第一层通过redeclare替换位置环控制器，不改动控制器内部接线；第二层为按原控制器连线等价重写的完整控制器，在倾角通道串入ERG与CBF，并输出超限累计时长等安全统计量。两级均配有消融模型，用于在重跑后分离各模块的独立贡献。</w:t>
      </w:r>
    </w:p>
    <w:p>
      <w:pPr>
        <w:spacing w:line="360" w:lineRule="auto"/>
        <w:ind w:firstLine="480"/>
      </w:pPr>
      <w:r>
        <w:t>本章与第4章的数据口径已统一：六组原模型已在MWORKS Sysplorer上重跑，重跑值与交付的仿真输出CSV复算值逐位吻合，全文指标与仿真输出由同一次运行生成，初赛交付包中指标文件与CSV不一致的问题已随本次重跑消除。</w:t>
      </w:r>
    </w:p>
    <w:p w14:paraId="397CA5ED">
      <w:pPr>
        <w:pStyle w:val="4"/>
        <w:spacing w:before="120" w:after="60"/>
        <w:ind w:firstLine="0"/>
        <w:rPr>
          <w:rFonts w:hint="eastAsia"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6.4 多机编队控制律</w:t>
      </w:r>
      <w:bookmarkEnd w:id="26"/>
    </w:p>
    <w:p w14:paraId="7DF64185">
      <w:pPr>
        <w:spacing w:line="360" w:lineRule="auto"/>
        <w:ind w:firstLine="480"/>
      </w:pPr>
      <w:r>
        <w:t>初赛版本的编队演示不含控制律：其实现是读取单机8字轨迹，给僚机施加固定位置偏移后做0.12 s延迟的一阶跟随，所得“最大队形误差0.861 m”是延迟造成的几何偏差，不反映控制性能，且不具备扰动恢复与避撞能力。本次重新实现为领航-跟随一致性编队，僚机i的位置指令为 cmd_i = p_L + d_i + k_c·Σ_j∈N(i)[(p_j − p_i) − (d_j − d_i)] + rep_i。其中一致性项使用机间相对测量，使编队作为整体收敛——某架僚机受扰落后时邻机同步调整，而非各自独立跟随偏移量；避撞项rep_i采用Khatib势场，仅在机间距小于安全距离d_safe时激活。在与Modelica实现同一组方程的独立复现上完成三项测试：标称编队的稳态队形误差均值为0.110 m、最小机间距4.10 m；扰动恢复测试中僚机1初始偏离5 m，0.67 s内收敛至1 m以内、0.83 s内收敛至0.2 m以内；避撞对抗测试将期望队形本身设为违反安全间距（期望间距0.40 m，d_safe = 2.0 m），势场将实际间距撑至1.53 m并稳定。需要说明两点边界。其一，势场是软约束：避撞增益由1.5增至100时，冲突队形下的稳态间距由0.98 m单调升至1.78 m，渐近于d_safe而无法达到，因此当期望队形本身违反安全间距时本算法只能缓解、不能保证；要获得硬保证需将机间距约束同样写成控制障碍函数并求解二次规划。在标称队形下上述全部增益给出的队形误差与最小机间距完全相同，因为间距大于d_safe时势场项恒为零，提高增益不产生代价。其二，编队仿真中的单机采用由本作品仿真数据辨识的二阶闭环位置模型而非完整多体机体：高度通道参数（ωn = 1.765 rad/s，ζ = 0.257）在三场景上纯仿真验证的拟合优度为93.0%、93.2%与94.7%，参数可辨识；水平通道参数在现有数据上不可唯一确定——三条航迹的时间尺度远慢于水平位置环带宽，ωn在8~50 rad/s区间内拟合优度均为98%~99%，故取区间下界ωn = 8 rad/s，使僚机响应更迟钝、队形误差偏大，结论方向保守。因此本节证明的是编队控制律本身的收敛性与避撞有效性，编队精度的绝对指标需在完整多体机体上重跑后方可给出。</w:t>
      </w:r>
    </w:p>
    <w:p w14:paraId="6B3C9602">
      <w:pPr>
        <w:jc w:val="center"/>
      </w:pPr>
      <w:r>
        <w:drawing>
          <wp:inline distT="0" distB="0" distL="0" distR="0">
            <wp:extent cx="5486400" cy="2306737"/>
            <wp:effectExtent l="0" t="0" r="0" b="0"/>
            <wp:docPr id="9" name="F3_指令变化率分离度.png" descr="F3_指令变化率分离度.png" title="F3_指令变化率分离度.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3_指令变化率分离度.png" descr="F3_指令变化率分离度.png" title="F3_指令变化率分离度.png"/>
                    <pic:cNvPicPr>
                      <a:picLocks noChangeAspect="1" noChangeArrowheads="1"/>
                    </pic:cNvPicPr>
                  </pic:nvPicPr>
                  <pic:blipFill>
                    <a:blip r:embed="rId16"/>
                    <a:srcRect/>
                    <a:stretch>
                      <a:fillRect/>
                    </a:stretch>
                  </pic:blipFill>
                  <pic:spPr>
                    <a:xfrm>
                      <a:off x="0" y="0"/>
                      <a:ext cx="5486400" cy="2306737"/>
                    </a:xfrm>
                    <a:prstGeom prst="rect">
                      <a:avLst/>
                    </a:prstGeom>
                  </pic:spPr>
                </pic:pic>
              </a:graphicData>
            </a:graphic>
          </wp:inline>
        </w:drawing>
      </w:r>
    </w:p>
    <w:p w14:paraId="0E53ACF6">
      <w:pPr>
        <w:spacing w:before="60" w:after="120"/>
        <w:jc w:val="center"/>
        <w:rPr>
          <w:b/>
          <w:bCs/>
          <w:sz w:val="21"/>
          <w:szCs w:val="21"/>
        </w:rPr>
      </w:pPr>
      <w:r>
        <w:rPr>
          <w:b/>
          <w:bCs/>
          <w:sz w:val="21"/>
          <w:szCs w:val="21"/>
        </w:rPr>
        <w:t>图9 倾角指令变化率的分布：正常飞行与参考跳变段</w:t>
      </w:r>
    </w:p>
    <w:p w14:paraId="3B1F11F0">
      <w:pPr>
        <w:spacing w:before="60" w:after="120"/>
        <w:jc w:val="center"/>
        <w:rPr>
          <w:b/>
          <w:bCs/>
          <w:sz w:val="21"/>
          <w:szCs w:val="21"/>
        </w:rPr>
      </w:pPr>
    </w:p>
    <w:p w14:paraId="32000359">
      <w:pPr>
        <w:jc w:val="center"/>
      </w:pPr>
      <w:r>
        <w:drawing>
          <wp:inline distT="0" distB="0" distL="0" distR="0">
            <wp:extent cx="5486400" cy="2390588"/>
            <wp:effectExtent l="0" t="0" r="0" b="0"/>
            <wp:docPr id="10" name="F4_误差分解.png" descr="F4_误差分解.png" title="F4_误差分解.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4_误差分解.png" descr="F4_误差分解.png" title="F4_误差分解.png"/>
                    <pic:cNvPicPr>
                      <a:picLocks noChangeAspect="1" noChangeArrowheads="1"/>
                    </pic:cNvPicPr>
                  </pic:nvPicPr>
                  <pic:blipFill>
                    <a:blip r:embed="rId17"/>
                    <a:srcRect/>
                    <a:stretch>
                      <a:fillRect/>
                    </a:stretch>
                  </pic:blipFill>
                  <pic:spPr>
                    <a:xfrm>
                      <a:off x="0" y="0"/>
                      <a:ext cx="5486400" cy="2390588"/>
                    </a:xfrm>
                    <a:prstGeom prst="rect">
                      <a:avLst/>
                    </a:prstGeom>
                  </pic:spPr>
                </pic:pic>
              </a:graphicData>
            </a:graphic>
          </wp:inline>
        </w:drawing>
      </w:r>
    </w:p>
    <w:p w14:paraId="458D3B08">
      <w:pPr>
        <w:spacing w:before="60" w:after="120"/>
        <w:jc w:val="center"/>
      </w:pPr>
      <w:r>
        <w:rPr>
          <w:b/>
          <w:bCs/>
          <w:sz w:val="21"/>
          <w:szCs w:val="21"/>
        </w:rPr>
        <w:t>图10 参考不连续段对路径RMSE的贡献</w:t>
      </w:r>
    </w:p>
    <w:p w14:paraId="561E899B">
      <w:pPr>
        <w:jc w:val="center"/>
      </w:pPr>
      <w:r>
        <w:drawing>
          <wp:inline distT="0" distB="0" distL="0" distR="0">
            <wp:extent cx="5486400" cy="1979629"/>
            <wp:effectExtent l="0" t="0" r="0" b="0"/>
            <wp:docPr id="11" name="F5_编队控制律验证.png" descr="F5_编队控制律验证.png" title="F5_编队控制律验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5_编队控制律验证.png" descr="F5_编队控制律验证.png" title="F5_编队控制律验证.png"/>
                    <pic:cNvPicPr>
                      <a:picLocks noChangeAspect="1" noChangeArrowheads="1"/>
                    </pic:cNvPicPr>
                  </pic:nvPicPr>
                  <pic:blipFill>
                    <a:blip r:embed="rId18"/>
                    <a:srcRect/>
                    <a:stretch>
                      <a:fillRect/>
                    </a:stretch>
                  </pic:blipFill>
                  <pic:spPr>
                    <a:xfrm>
                      <a:off x="0" y="0"/>
                      <a:ext cx="5486400" cy="1979629"/>
                    </a:xfrm>
                    <a:prstGeom prst="rect">
                      <a:avLst/>
                    </a:prstGeom>
                  </pic:spPr>
                </pic:pic>
              </a:graphicData>
            </a:graphic>
          </wp:inline>
        </w:drawing>
      </w:r>
    </w:p>
    <w:p w14:paraId="6C91E822">
      <w:pPr>
        <w:spacing w:before="60" w:after="120"/>
        <w:jc w:val="center"/>
        <w:rPr>
          <w:b/>
          <w:bCs/>
          <w:sz w:val="21"/>
          <w:szCs w:val="21"/>
        </w:rPr>
      </w:pPr>
      <w:r>
        <w:rPr>
          <w:b/>
          <w:bCs/>
          <w:sz w:val="21"/>
          <w:szCs w:val="21"/>
        </w:rPr>
        <w:t>图11 多机编队控制律的三项测试</w:t>
      </w:r>
    </w:p>
    <w:p w14:paraId="34833E9D">
      <w:pPr>
        <w:spacing w:before="60" w:after="120"/>
        <w:jc w:val="center"/>
        <w:rPr>
          <w:b/>
          <w:bCs/>
          <w:sz w:val="21"/>
          <w:szCs w:val="21"/>
        </w:rPr>
      </w:pPr>
    </w:p>
    <w:p w14:paraId="3DB3DC18">
      <w:pPr>
        <w:pStyle w:val="3"/>
        <w:spacing w:before="180" w:after="90"/>
        <w:ind w:firstLine="0"/>
        <w:rPr>
          <w:rFonts w:asciiTheme="majorEastAsia" w:hAnsiTheme="majorEastAsia" w:eastAsiaTheme="majorEastAsia" w:cstheme="majorEastAsia"/>
          <w:b/>
          <w:bCs/>
          <w:sz w:val="40"/>
          <w:szCs w:val="40"/>
        </w:rPr>
      </w:pPr>
      <w:bookmarkStart w:id="27" w:name="_Toc22598"/>
    </w:p>
    <w:p w14:paraId="40B4053C">
      <w:pPr>
        <w:pStyle w:val="3"/>
        <w:spacing w:before="180" w:after="90"/>
        <w:ind w:firstLine="0"/>
        <w:rPr>
          <w:rFonts w:asciiTheme="majorEastAsia" w:hAnsiTheme="majorEastAsia" w:eastAsiaTheme="majorEastAsia" w:cstheme="majorEastAsia"/>
          <w:b/>
          <w:bCs/>
          <w:sz w:val="40"/>
          <w:szCs w:val="40"/>
        </w:rPr>
      </w:pPr>
    </w:p>
    <w:p>
      <w:pPr>
        <w:pStyle w:val="4"/>
        <w:spacing w:before="120" w:after="60"/>
        <w:ind w:firstLine="0"/>
        <w:rPr>
          <w:rFonts w:hint="eastAsia"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6.5 验证结果</w:t>
      </w:r>
    </w:p>
    <w:p>
      <w:pPr>
        <w:spacing w:line="360" w:lineRule="auto"/>
        <w:ind w:firstLine="480"/>
      </w:pPr>
      <w:r>
        <w:t>本节逐条给出预注册判据的达成情况。全部判据在实验执行之前确定，重跑在MWORKS Sysplorer上完成，结果未因不利而调整判据或引入补偿系数；其中一项未达标，按原判据如实记录。</w:t>
      </w:r>
    </w:p>
    <w:p>
      <w:pPr>
        <w:spacing w:line="360" w:lineRule="auto"/>
        <w:ind w:firstLine="480"/>
      </w:pPr>
      <w:r>
        <w:t>判据一，等价性回归：通过。关闭安全链并将倾角限幅改回9.5°的等价重写控制器路径RMSE为0.228016 m，原增强模型重跑为0.228024 m，两者相差8×10⁻⁶ m（0.0035%）；该模型的15°超限累计时长为0.030 s，与交付CSV复算的3个采样点（3×0.01 s）吻合。等价重写与原控制器一致，以下安全链结论建立在此基础之上。</w:t>
      </w:r>
    </w:p>
    <w:p>
      <w:pPr>
        <w:spacing w:line="360" w:lineRule="auto"/>
        <w:ind w:firstLine="480"/>
      </w:pPr>
      <w:r>
        <w:t>判据二，ERG消除超限：通过，6/6。ClimbSafeERG、SpiralSafeERG、EightSafeERG、ClimbSafeFull、SpiralSafeFull与EightSafeFull共六个模型的15°超限累计时长全部为0。对照组中，不接安全链的ClimbEquivalenceCheck为0.030 s，仅启用CBF的ClimbCBFOnly为0.060 s。</w:t>
      </w:r>
    </w:p>
    <w:p>
      <w:pPr>
        <w:spacing w:line="360" w:lineRule="auto"/>
        <w:ind w:firstLine="480"/>
      </w:pPr>
      <w:r>
        <w:t>判据三，ERG不损精度：未全部达标，2/3通过，爬升场景未达标。接入ERG后三场景路径RMSE分别为0.236546 m、0.467209 m与0.147845 m，相对增强模型（0.228024 m、0.474398 m、0.149095 m）的变化为+3.74%、−1.52%与−0.84%，螺旋爬升与8字航迹的RMSE反而下降，爬升场景的劣化3.74%超出预注册的3%门槛0.74个百分点，此项按未达标记录。需要说明该判据写定时的基准问题：当时以metrics_summary.json的0.23289 m为爬升增强模型的RMSE，据此计算劣化仅为+1.57%，看似达标；本次重跑证实该文件已过期，改用正确基准0.228024 m后劣化为+3.74%。基准修正不构成回头放宽判据的理由，本报告不作改判。就工程含义而言，爬升场景是以3.74%的跟踪精度换取15°超限由0.030 s归零；若以基线PID为参照，接入ERG后三场景相对基线仍分别改善14.06%、4.10%与14.20%，且超限全部归零。</w:t>
      </w:r>
    </w:p>
    <w:p>
      <w:pPr>
        <w:spacing w:line="360" w:lineRule="auto"/>
        <w:ind w:firstLine="480"/>
      </w:pPr>
      <w:r>
        <w:t>判据四，安全链消融：完成，结论与预期相反，这是本次重跑最有信息量的发现。三个倾角限幅同为12°的模型可直接比较——仅启用限速的ClimbERGOnly路径RMSE为0.236552 m、超限时长0 s；仅启用障碍函数的ClimbCBFOnly为0.224530 m、超限时长0.060 s；两者都开的ClimbSafeFull为0.236552 m、超限时长0 s。由此可得两条结论：其一，消除超限的是ERG而不是CBF——仅开CBF时超限时长0.060 s，比不接安全链的0.030 s还高（其限幅12°比等价性回归模型的9.5°更宽松），仅开ERG即归零；其二，ERG开启后CBF从未触发——ClimbSafeFull与ClimbERGOnly的RMSE逐位相同（均为0.236552 m），CBF累计修正量为0，限速已使姿态不再接近边界，障碍函数没有介入机会。这与6.1、6.2的机理分析一致：超限由指令阶跃激发，作用于指令幅值的障碍函数无法阻止响应超调，限制指令变化率才是对症手段。补充对照ClimbBaselineERG（基线PID加限速）：路径RMSE 0.279932 m，相对基线0.275253 m劣化1.70%，超限时长为0，阶跃超调1.691141%与基线的1.691%相同，说明限速本身不改变超调特性，只消除超限。</w:t>
      </w:r>
    </w:p>
    <w:p>
      <w:pPr>
        <w:spacing w:line="360" w:lineRule="auto"/>
        <w:ind w:firstLine="480"/>
      </w:pPr>
      <w:r>
        <w:t>判据五，编队精度：控制律实现已验证，绝对精度仍受模型边界限制。Modelica实测最大队形误差0.552288 m、最小机间距4.097131 m、领航机航迹跟踪误差最大值0.639396 m；按同一组方程独立编写的Python复现给出0.5518 m与4.0970 m，两者偏差分别为0.09%与0.00%，可确认编队控制律的实现无误。边界不变：该模型中的单机仍是二阶降阶闭环模型而非完整多体机体，故上述数字刻画的是编队控制律本身的收敛性，不是整机编队精度，后者须换用完整多体机体重跑方可给出。</w:t>
      </w:r>
    </w:p>
    <w:p>
      <w:pPr>
        <w:spacing w:line="360" w:lineRule="auto"/>
        <w:ind w:firstLine="480"/>
      </w:pPr>
      <w:r>
        <w:t>判据六，闭环鲁棒性：尚未完成。将质量偏差、风扰与传感器噪声作为模型参数与输入注入Modelica模型并逐组重新求解的实验不在本次重跑范围内，第5.2节的结论维持不变：本作品目前不具备可支撑结论的鲁棒性验证结果，本报告不对系统鲁棒性作任何定量声明。</w:t>
      </w:r>
    </w:p>
    <w:p>
      <w:pPr>
        <w:spacing w:line="360" w:lineRule="auto"/>
        <w:ind w:firstLine="480"/>
      </w:pPr>
      <w:r>
        <w:t>统计口径已按预定变更：将“15°超限采样点数”改为“超限累计时长”。点数依赖仿真输出间隔，同一条轨迹改变Interval设置数值即变；累计时长为连续量，不受输出间隔影响，上述判定一律以累计时长为准。</w:t>
      </w:r>
    </w:p>
    <w:p w14:paraId="2A05D3FE">
      <w:pPr>
        <w:pStyle w:val="3"/>
        <w:spacing w:before="180" w:after="90"/>
        <w:ind w:firstLine="0"/>
        <w:rPr>
          <w:rFonts w:hint="eastAsia" w:asciiTheme="majorEastAsia" w:hAnsiTheme="majorEastAsia" w:eastAsiaTheme="majorEastAsia" w:cstheme="majorEastAsia"/>
          <w:sz w:val="40"/>
          <w:szCs w:val="40"/>
        </w:rPr>
      </w:pPr>
      <w:r>
        <w:rPr>
          <w:rFonts w:hint="eastAsia" w:asciiTheme="majorEastAsia" w:hAnsiTheme="majorEastAsia" w:eastAsiaTheme="majorEastAsia" w:cstheme="majorEastAsia"/>
          <w:b/>
          <w:bCs/>
          <w:sz w:val="40"/>
          <w:szCs w:val="40"/>
        </w:rPr>
        <w:t>7. 总结与展望</w:t>
      </w:r>
      <w:bookmarkEnd w:id="27"/>
    </w:p>
    <w:p w14:paraId="3CA291A3">
      <w:pPr>
        <w:pStyle w:val="4"/>
        <w:spacing w:before="120" w:after="60"/>
        <w:ind w:firstLine="0"/>
        <w:rPr>
          <w:rFonts w:hint="eastAsia" w:asciiTheme="majorEastAsia" w:hAnsiTheme="majorEastAsia" w:eastAsiaTheme="majorEastAsia" w:cstheme="majorEastAsia"/>
          <w:sz w:val="36"/>
          <w:szCs w:val="36"/>
        </w:rPr>
      </w:pPr>
      <w:bookmarkStart w:id="28" w:name="_Toc15633"/>
      <w:r>
        <w:rPr>
          <w:rFonts w:hint="eastAsia" w:asciiTheme="majorEastAsia" w:hAnsiTheme="majorEastAsia" w:eastAsiaTheme="majorEastAsia" w:cstheme="majorEastAsia"/>
          <w:b/>
          <w:bCs/>
          <w:sz w:val="36"/>
          <w:szCs w:val="36"/>
        </w:rPr>
        <w:t>7.1 核心成果总结</w:t>
      </w:r>
      <w:bookmarkEnd w:id="28"/>
    </w:p>
    <w:p w14:paraId="43B9F64D">
      <w:pPr>
        <w:spacing w:line="360" w:lineRule="auto"/>
        <w:ind w:firstLine="480"/>
      </w:pPr>
      <w:r>
        <w:t>本文基于MWORKS Sysplorer 2026a平台与Modelica建模语言，构建了五层分层仿真系统，通过replaceable/redeclare语法实现了从传统PID到HybridPIDSlidingMode复合滑模控制器的结构性升级，并集成CBF/PPC/ERG安全链形成多层级飞行防护体系。针对爬升、螺旋爬升和8字航迹三类典型飞行场景的对照仿真实验，我们得出以下核心结论：</w:t>
      </w:r>
    </w:p>
    <w:p w14:paraId="502ACAE1">
      <w:pPr>
        <w:spacing w:line="360" w:lineRule="auto"/>
        <w:ind w:firstLine="480"/>
      </w:pPr>
      <w:r>
        <w:t>第一，复合滑模控制器在三类场景中均实现了路径RMSE的降低，改善率分别为17.16%、2.62%和13.47%，平均误差改善率分别为25.10%、19.22%和25.93%，其中爬升与8字航迹场景效果尤为突出。动态响应方面，阶跃超调由1.691%降至1.525%，2%调节时间保持12.8 s不变，实现了在不牺牲响应速度前提下优化过渡过程品质。</w:t>
      </w:r>
    </w:p>
    <w:p w14:paraId="14B5EA97">
      <w:pPr>
        <w:spacing w:line="360" w:lineRule="auto"/>
        <w:ind w:firstLine="480"/>
      </w:pPr>
      <w:r>
        <w:t>第二，对增强模型出现的姿态超限完成了定量溯源。六组仿真的全部15°超限采样点均落在参考轨迹不连续时刻之后0.06~0.08 s内，其余220 s飞行时段无一超限；进一步的单轴与多轴对照表明，参考不连续是触发条件而非充分条件，超限伴随俯仰与横滚两路内环同时饱和及混控层面的作动量集中（电机指令摆幅比16.64，单轴事件为1.05）。据此确认初赛版本收紧倾角限幅的做法无效，并给出限速阈值60°/s与计入角速率制动裕度的CBF设计。重跑证实了该判断：接入限速后六个安全链模型的15°超限累计时长全部归零，消融进一步显示消除超限的是限速环节本身，障碍函数在限速开启后从未触发；代价是爬升场景路径RMSE相对增强模型劣化3.74%，超出预注册的3%门槛，该项判据未达标。</w:t>
      </w:r>
    </w:p>
    <w:p w14:paraId="21F555F5">
      <w:pPr>
        <w:spacing w:line="360" w:lineRule="auto"/>
        <w:ind w:firstLine="480"/>
      </w:pPr>
      <w:r>
        <w:t>第三，更正了初赛版本中三处不成立的结论：AdvancedSafetyControl.mo中的四个安全模块从未被实例化或连接，未进入控制回路；鲁棒性验证所用的解析式中标称RMSE被约去，其结果与被测控制器无关，不构成对控制性能的检验；编队演示为固定偏移加延迟跟随，不含控制律。三者的替代实现与验证方案分别见6.3、5.2与6.4节。</w:t>
      </w:r>
    </w:p>
    <w:p w14:paraId="5BEF6D32">
      <w:pPr>
        <w:pStyle w:val="4"/>
        <w:spacing w:before="120" w:after="60"/>
        <w:ind w:firstLine="0"/>
        <w:rPr>
          <w:rFonts w:hint="eastAsia" w:asciiTheme="majorEastAsia" w:hAnsiTheme="majorEastAsia" w:eastAsiaTheme="majorEastAsia" w:cstheme="majorEastAsia"/>
          <w:sz w:val="36"/>
          <w:szCs w:val="36"/>
        </w:rPr>
      </w:pPr>
      <w:bookmarkStart w:id="29" w:name="_Toc29036"/>
      <w:r>
        <w:rPr>
          <w:rFonts w:hint="eastAsia" w:asciiTheme="majorEastAsia" w:hAnsiTheme="majorEastAsia" w:eastAsiaTheme="majorEastAsia" w:cstheme="majorEastAsia"/>
          <w:b/>
          <w:bCs/>
          <w:sz w:val="36"/>
          <w:szCs w:val="36"/>
        </w:rPr>
        <w:t>7.2 作品亮点分析</w:t>
      </w:r>
      <w:bookmarkEnd w:id="29"/>
    </w:p>
    <w:p w14:paraId="0B3D052A">
      <w:pPr>
        <w:spacing w:line="360" w:lineRule="auto"/>
        <w:ind w:firstLine="480"/>
      </w:pPr>
      <w:r>
        <w:t>本文的技术亮点主要体现在以下三个方面：</w:t>
      </w:r>
    </w:p>
    <w:p w14:paraId="3EFBC23F">
      <w:pPr>
        <w:spacing w:line="360" w:lineRule="auto"/>
        <w:ind w:firstLine="480"/>
      </w:pPr>
      <w:r>
        <w:t>模型架构优势方面，我们采用底层模型复用搭配任务模型继承的模块化架构设计，全程未修改官方动力学模型，保证了仿真基准的客观性。模型、脚本、数据、文档四大板块相互解耦，为后续二次开发预留了充足空间。</w:t>
      </w:r>
    </w:p>
    <w:p w14:paraId="5B57C83F">
      <w:pPr>
        <w:spacing w:line="360" w:lineRule="auto"/>
        <w:ind w:firstLine="480"/>
      </w:pPr>
      <w:r>
        <w:t>测试场景全面性方面，三类飞行场景覆盖了从简单到复杂的典型作业工况：基础爬升测试单一维度跟踪能力，螺旋爬升检验复合运动下的多通道协同控制能力，8字航迹考核连续变向工况下的自适应能力。</w:t>
      </w:r>
    </w:p>
    <w:p w14:paraId="51A9FF2A">
      <w:pPr>
        <w:spacing w:line="360" w:lineRule="auto"/>
        <w:ind w:firstLine="480"/>
      </w:pPr>
      <w:r>
        <w:t>验证方法方面，本次改版将结论与其数据来源逐条对应：报告中的每个量化结论均可由交付的仿真输出CSV或MWORKS重跑结果直接复算，指标与仿真输出由同一次运行生成，不以离线后处理的数值替代闭环仿真结果；预注册判据在实验执行前确定，6.5节逐条给出达成情况，其中爬升场景的RMSE劣化判据未达标，按原判据如实记录而未作放宽。统计口径上，将依赖输出间隔的“超限采样点数”改为连续量“超限累计时长”。</w:t>
      </w:r>
    </w:p>
    <w:p w14:paraId="01AEC5C7">
      <w:pPr>
        <w:pStyle w:val="4"/>
        <w:spacing w:before="120" w:after="60"/>
        <w:ind w:firstLine="0"/>
        <w:rPr>
          <w:rFonts w:hint="eastAsia" w:asciiTheme="majorEastAsia" w:hAnsiTheme="majorEastAsia" w:eastAsiaTheme="majorEastAsia" w:cstheme="majorEastAsia"/>
          <w:sz w:val="36"/>
          <w:szCs w:val="36"/>
        </w:rPr>
      </w:pPr>
      <w:bookmarkStart w:id="30" w:name="_Toc10579"/>
      <w:r>
        <w:rPr>
          <w:rFonts w:hint="eastAsia" w:asciiTheme="majorEastAsia" w:hAnsiTheme="majorEastAsia" w:eastAsiaTheme="majorEastAsia" w:cstheme="majorEastAsia"/>
          <w:b/>
          <w:bCs/>
          <w:sz w:val="36"/>
          <w:szCs w:val="36"/>
        </w:rPr>
        <w:t>7.3 不足与后续优化方向</w:t>
      </w:r>
      <w:bookmarkEnd w:id="30"/>
    </w:p>
    <w:p w14:paraId="28E61CC4">
      <w:pPr>
        <w:spacing w:line="360" w:lineRule="auto"/>
        <w:ind w:firstLine="480"/>
      </w:pPr>
      <w:r>
        <w:t>当前工作仍有明确的未完成项。其一，爬升场景接入ERG后路径RMSE相对增强模型劣化3.74%，未通过预注册的3%门槛，该项按未达标记录；后续需在限速阈值标定与跳变段的指令整形上继续改进，在精度损失降到门槛以内之前，不宜宣称该判据已满足。其二，闭环鲁棒性验证尚未开展，需将质量偏差、风扰与传感器噪声作为模型参数与输入注入模型并逐组重新求解，在其完成之前本报告不对鲁棒性作任何定量声明。其三，编队仿真中的单机目前为二阶降阶闭环模型，水平通道带宽在现有航迹上不可辨识，6.5节给出的最大队形误差0.552288 m与最小机间距4.097131 m刻画的是编队控制律本身的收敛性，整机编队精度的绝对指标需换用完整多体机体后重跑。</w:t>
      </w:r>
    </w:p>
    <w:p w14:paraId="1EEA4AE6">
      <w:pPr>
        <w:spacing w:line="360" w:lineRule="auto"/>
        <w:ind w:firstLine="480"/>
      </w:pPr>
      <w:r>
        <w:t>后续优化方向包括：（1）优化复合滑模算法参数与结构，结合自适应增益设计进一步提升强耦合工况下的控制精度；（2）将离线调参与安全链功能深度集成至MWORKS平台，实现全流程一体化自动仿真测试；（3）接入Dryden紊流等真实风场模型，开展更贴近实际工况的鲁棒性测试；（4）完善多机编队实时闭环控制，拓展编队避障与队形变换功能；（5）尝试对接可视化3D界面与智能诊断系统，提升工程实用性与智能化水平。</w:t>
      </w:r>
    </w:p>
    <w:p w14:paraId="1D480CCF">
      <w:pPr>
        <w:spacing w:line="360" w:lineRule="auto"/>
        <w:ind w:firstLine="480"/>
      </w:pPr>
    </w:p>
    <w:p w14:paraId="70201DF7">
      <w:pPr>
        <w:pStyle w:val="3"/>
        <w:spacing w:before="180" w:after="90"/>
        <w:ind w:firstLine="0"/>
        <w:rPr>
          <w:sz w:val="44"/>
          <w:szCs w:val="44"/>
        </w:rPr>
      </w:pPr>
      <w:bookmarkStart w:id="31" w:name="_Toc19240"/>
      <w:r>
        <w:rPr>
          <w:rFonts w:eastAsia="黑体"/>
          <w:b/>
          <w:bCs/>
          <w:sz w:val="44"/>
          <w:szCs w:val="44"/>
        </w:rPr>
        <w:t>参考文献</w:t>
      </w:r>
      <w:bookmarkEnd w:id="31"/>
    </w:p>
    <w:p w14:paraId="1B2A727C">
      <w:pPr>
        <w:spacing w:line="300" w:lineRule="auto"/>
        <w:ind w:left="420" w:hanging="420"/>
      </w:pPr>
      <w:r>
        <w:rPr>
          <w:sz w:val="21"/>
          <w:szCs w:val="21"/>
        </w:rPr>
        <w:t>[1] Baek J, Kang M. A Synthesized Sliding-Mode Control for Attitude Trajectory Tracking of Quadrotor UAV Systems[J]. IEEE/ASME Transactions on Mechatronics, 2023, 28(4): 2189-2199.</w:t>
      </w:r>
    </w:p>
    <w:p w14:paraId="4676CC4C">
      <w:pPr>
        <w:spacing w:line="300" w:lineRule="auto"/>
        <w:ind w:left="420" w:hanging="420"/>
      </w:pPr>
      <w:r>
        <w:rPr>
          <w:sz w:val="21"/>
          <w:szCs w:val="21"/>
        </w:rPr>
        <w:t>[2] Gao R, Wu S, Li H. Global Fast Terminal Sliding Mode Control for Trajectory Tracking Control of Quadrotor UAVs[J]. Sensors, 2025, 25(24): 7480.</w:t>
      </w:r>
    </w:p>
    <w:p w14:paraId="568863DD">
      <w:pPr>
        <w:spacing w:line="300" w:lineRule="auto"/>
        <w:ind w:left="420" w:hanging="420"/>
      </w:pPr>
      <w:r>
        <w:rPr>
          <w:sz w:val="21"/>
          <w:szCs w:val="21"/>
        </w:rPr>
        <w:t>[3] Tiller M. Introduction to Physical Modeling with Modelica[M]. Springer, 2001.</w:t>
      </w:r>
    </w:p>
    <w:p w14:paraId="496BF079">
      <w:pPr>
        <w:spacing w:line="300" w:lineRule="auto"/>
        <w:ind w:left="420" w:hanging="420"/>
      </w:pPr>
      <w:r>
        <w:rPr>
          <w:sz w:val="21"/>
          <w:szCs w:val="21"/>
        </w:rPr>
        <w:t>[4] Chen X, Liu J, Meng L. Fuzzy sliding mode control for trajectory tracking of quadrotor aircraft based on adaptive event-triggered mechanism[J]. Journal of the Franklin Institute, 2025, 362(10): 107718.</w:t>
      </w:r>
    </w:p>
    <w:p w14:paraId="4CF52DF8">
      <w:pPr>
        <w:spacing w:line="300" w:lineRule="auto"/>
        <w:ind w:left="420" w:hanging="420"/>
      </w:pPr>
      <w:r>
        <w:rPr>
          <w:sz w:val="21"/>
          <w:szCs w:val="21"/>
        </w:rPr>
        <w:t>[5] Ames A D, Xu X, Grizzle J W, et al. Control Barrier Function Based Quadratic Programs for Safety Critical Systems[J]. IEEE Transactions on Automatic Control, 2017, 62(8): 3861-3876.</w:t>
      </w:r>
    </w:p>
    <w:p w14:paraId="74F15F07">
      <w:pPr>
        <w:spacing w:line="300" w:lineRule="auto"/>
        <w:ind w:left="420" w:hanging="420"/>
      </w:pPr>
      <w:r>
        <w:rPr>
          <w:sz w:val="21"/>
          <w:szCs w:val="21"/>
        </w:rPr>
        <w:t>[6] Bechlioulis C P, Rovithakis G A. Prescribed performance adaptive control of SISO feedback linearizable systems with disturbances[C]. 16th Mediterranean Conference on Control and Automation, IEEE, 2008: 1035-1040.</w:t>
      </w:r>
    </w:p>
    <w:p w14:paraId="6AD78ADF">
      <w:pPr>
        <w:spacing w:line="300" w:lineRule="auto"/>
        <w:ind w:left="420" w:hanging="420"/>
      </w:pPr>
      <w:r>
        <w:rPr>
          <w:sz w:val="21"/>
          <w:szCs w:val="21"/>
        </w:rPr>
        <w:t>[7] Garone E, Di Cairano S, Kolmanovsky I V. Reference and command governors for systems with constraints: A survey on theory and applications[J]. Automatica, 2017, 75: 306-328.</w:t>
      </w:r>
    </w:p>
    <w:p w14:paraId="69F78C9D">
      <w:pPr>
        <w:spacing w:line="300" w:lineRule="auto"/>
        <w:ind w:left="420" w:hanging="420"/>
      </w:pPr>
      <w:r>
        <w:rPr>
          <w:sz w:val="21"/>
          <w:szCs w:val="21"/>
        </w:rPr>
        <w:t>[8] Deb K, Pratap A, Agarwal S, et al. A fast and elitist multiobjective genetic algorithm: NSGA-II[J]. IEEE Transactions on Evolutionary Computation, 2002, 6(2): 182-197.</w:t>
      </w:r>
    </w:p>
    <w:p w14:paraId="58DA49C3">
      <w:pPr>
        <w:spacing w:line="300" w:lineRule="auto"/>
        <w:ind w:left="420" w:hanging="420"/>
      </w:pPr>
      <w:r>
        <w:rPr>
          <w:sz w:val="21"/>
          <w:szCs w:val="21"/>
        </w:rPr>
        <w:t>[9] Tian G S, Zhang L C. Multi-Domain Modeling and Co-Simulation Based on Modelica and Simulink[J]. Applied Mechanics and Materials, 2014, 596: 927-930.</w:t>
      </w:r>
    </w:p>
    <w:p w14:paraId="494C98CD">
      <w:pPr>
        <w:spacing w:line="300" w:lineRule="auto"/>
        <w:ind w:left="420" w:hanging="420"/>
      </w:pPr>
      <w:r>
        <w:rPr>
          <w:sz w:val="21"/>
          <w:szCs w:val="21"/>
        </w:rPr>
        <w:t>[10] Kolmanovsky I V, Garone E, Di Cairano S. Reference and command governors: A tutorial on their theory and automotive applications[C]. American Control Conference, IEEE, 2014: 226-241.</w:t>
      </w:r>
    </w:p>
    <w:sectPr>
      <w:footerReference r:id="rId6" w:type="default"/>
      <w:pgSz w:w="11906" w:h="16838"/>
      <w:pgMar w:top="1418" w:right="1418" w:bottom="1418" w:left="1418"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A7E65">
    <w:pPr>
      <w:jc w:val="center"/>
    </w:pPr>
    <w:r>
      <w:fldChar w:fldCharType="begin"/>
    </w:r>
    <w:r>
      <w:instrText xml:space="preserve">PAGE</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74A91">
    <w:pPr>
      <w:jc w:val="center"/>
    </w:pPr>
    <w:r>
      <w:fldChar w:fldCharType="begin"/>
    </w:r>
    <w:r>
      <w:instrText xml:space="preserve">PAGE</w:instrText>
    </w:r>
    <w:r>
      <w:fldChar w:fldCharType="separate"/>
    </w:r>
    <w: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6DA07">
    <w:pPr>
      <w:jc w:val="center"/>
    </w:pPr>
    <w:r>
      <w:fldChar w:fldCharType="begin"/>
    </w:r>
    <w:r>
      <w:instrText xml:space="preserve">PAGE</w:instrText>
    </w:r>
    <w:r>
      <w:fldChar w:fldCharType="separate"/>
    </w:r>
    <w: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40DFAF">
    <w:pPr>
      <w:pStyle w:val="11"/>
      <w:pBdr>
        <w:bottom w:val="single" w:color="auto" w:sz="4" w:space="1"/>
      </w:pBdr>
    </w:pPr>
    <w:r>
      <w:rPr>
        <w:rFonts w:hint="eastAsia"/>
      </w:rPr>
      <w:t>四旋翼无人机位姿控制系统设计优化                                                                                                                 仿真分析报告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9F7018"/>
    <w:multiLevelType w:val="multilevel"/>
    <w:tmpl w:val="5D9F7018"/>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E87"/>
    <w:rsid w:val="000B39FD"/>
    <w:rsid w:val="003639EB"/>
    <w:rsid w:val="00391E87"/>
    <w:rsid w:val="00443897"/>
    <w:rsid w:val="004533B8"/>
    <w:rsid w:val="007E7384"/>
    <w:rsid w:val="00D24E3E"/>
    <w:rsid w:val="00FD5812"/>
    <w:rsid w:val="05E456B1"/>
    <w:rsid w:val="1DF5095B"/>
    <w:rsid w:val="22C921F9"/>
    <w:rsid w:val="49223678"/>
    <w:rsid w:val="70E978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color w:val="000000"/>
      <w:sz w:val="24"/>
      <w:szCs w:val="24"/>
      <w:lang w:val="en-US" w:eastAsia="zh-CN" w:bidi="ar-SA"/>
    </w:rPr>
  </w:style>
  <w:style w:type="paragraph" w:styleId="2">
    <w:name w:val="heading 1"/>
    <w:next w:val="1"/>
    <w:qFormat/>
    <w:uiPriority w:val="0"/>
    <w:pPr>
      <w:spacing w:line="360" w:lineRule="auto"/>
      <w:ind w:firstLine="480"/>
      <w:outlineLvl w:val="0"/>
    </w:pPr>
    <w:rPr>
      <w:rFonts w:ascii="Times New Roman" w:hAnsi="Times New Roman" w:eastAsia="宋体" w:cstheme="minorBidi"/>
      <w:color w:val="000000"/>
      <w:sz w:val="24"/>
      <w:szCs w:val="24"/>
      <w:lang w:val="en-US" w:eastAsia="zh-CN" w:bidi="ar-SA"/>
    </w:rPr>
  </w:style>
  <w:style w:type="paragraph" w:styleId="3">
    <w:name w:val="heading 2"/>
    <w:next w:val="1"/>
    <w:qFormat/>
    <w:uiPriority w:val="0"/>
    <w:pPr>
      <w:spacing w:line="360" w:lineRule="auto"/>
      <w:ind w:firstLine="480"/>
      <w:outlineLvl w:val="1"/>
    </w:pPr>
    <w:rPr>
      <w:rFonts w:ascii="Times New Roman" w:hAnsi="Times New Roman" w:eastAsia="宋体" w:cstheme="minorBidi"/>
      <w:color w:val="000000"/>
      <w:sz w:val="24"/>
      <w:szCs w:val="24"/>
      <w:lang w:val="en-US" w:eastAsia="zh-CN" w:bidi="ar-SA"/>
    </w:rPr>
  </w:style>
  <w:style w:type="paragraph" w:styleId="4">
    <w:name w:val="heading 3"/>
    <w:next w:val="1"/>
    <w:qFormat/>
    <w:uiPriority w:val="0"/>
    <w:pPr>
      <w:spacing w:line="360" w:lineRule="auto"/>
      <w:ind w:firstLine="480"/>
      <w:outlineLvl w:val="2"/>
    </w:pPr>
    <w:rPr>
      <w:rFonts w:ascii="Times New Roman" w:hAnsi="Times New Roman" w:eastAsia="宋体" w:cstheme="minorBidi"/>
      <w:color w:val="000000"/>
      <w:sz w:val="24"/>
      <w:szCs w:val="24"/>
      <w:lang w:val="en-US" w:eastAsia="zh-CN" w:bidi="ar-SA"/>
    </w:rPr>
  </w:style>
  <w:style w:type="paragraph" w:styleId="5">
    <w:name w:val="heading 4"/>
    <w:next w:val="1"/>
    <w:qFormat/>
    <w:uiPriority w:val="0"/>
    <w:pPr>
      <w:spacing w:line="360" w:lineRule="auto"/>
      <w:ind w:firstLine="480"/>
      <w:outlineLvl w:val="3"/>
    </w:pPr>
    <w:rPr>
      <w:rFonts w:ascii="Times New Roman" w:hAnsi="Times New Roman" w:eastAsia="宋体" w:cstheme="minorBidi"/>
      <w:color w:val="000000"/>
      <w:sz w:val="24"/>
      <w:szCs w:val="24"/>
      <w:lang w:val="en-US" w:eastAsia="zh-CN" w:bidi="ar-SA"/>
    </w:rPr>
  </w:style>
  <w:style w:type="paragraph" w:styleId="6">
    <w:name w:val="heading 5"/>
    <w:next w:val="1"/>
    <w:qFormat/>
    <w:uiPriority w:val="0"/>
    <w:pPr>
      <w:spacing w:line="360" w:lineRule="auto"/>
      <w:ind w:firstLine="480"/>
      <w:outlineLvl w:val="4"/>
    </w:pPr>
    <w:rPr>
      <w:rFonts w:ascii="Times New Roman" w:hAnsi="Times New Roman" w:eastAsia="宋体" w:cstheme="minorBidi"/>
      <w:color w:val="000000"/>
      <w:sz w:val="24"/>
      <w:szCs w:val="24"/>
      <w:lang w:val="en-US" w:eastAsia="zh-CN" w:bidi="ar-SA"/>
    </w:rPr>
  </w:style>
  <w:style w:type="paragraph" w:styleId="7">
    <w:name w:val="heading 6"/>
    <w:next w:val="1"/>
    <w:qFormat/>
    <w:uiPriority w:val="0"/>
    <w:pPr>
      <w:spacing w:line="360" w:lineRule="auto"/>
      <w:ind w:firstLine="480"/>
      <w:outlineLvl w:val="5"/>
    </w:pPr>
    <w:rPr>
      <w:rFonts w:ascii="Times New Roman" w:hAnsi="Times New Roman" w:eastAsia="宋体" w:cstheme="minorBidi"/>
      <w:color w:val="000000"/>
      <w:sz w:val="24"/>
      <w:szCs w:val="24"/>
      <w:lang w:val="en-US" w:eastAsia="zh-CN" w:bidi="ar-SA"/>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8">
    <w:name w:val="toc 3"/>
    <w:basedOn w:val="1"/>
    <w:next w:val="1"/>
    <w:qFormat/>
    <w:uiPriority w:val="0"/>
    <w:pPr>
      <w:ind w:left="840" w:leftChars="400"/>
    </w:pPr>
  </w:style>
  <w:style w:type="paragraph" w:styleId="9">
    <w:name w:val="endnote text"/>
    <w:link w:val="23"/>
    <w:semiHidden/>
    <w:unhideWhenUsed/>
    <w:qFormat/>
    <w:uiPriority w:val="99"/>
    <w:pPr>
      <w:ind w:firstLine="480"/>
    </w:pPr>
    <w:rPr>
      <w:rFonts w:ascii="Times New Roman" w:hAnsi="Times New Roman" w:eastAsia="宋体" w:cstheme="minorBidi"/>
      <w:color w:val="000000"/>
      <w:lang w:val="en-US" w:eastAsia="zh-CN" w:bidi="ar-SA"/>
    </w:r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footnote text"/>
    <w:link w:val="22"/>
    <w:semiHidden/>
    <w:unhideWhenUsed/>
    <w:qFormat/>
    <w:uiPriority w:val="99"/>
    <w:pPr>
      <w:ind w:firstLine="480"/>
    </w:pPr>
    <w:rPr>
      <w:rFonts w:ascii="Times New Roman" w:hAnsi="Times New Roman" w:eastAsia="宋体" w:cstheme="minorBidi"/>
      <w:color w:val="000000"/>
      <w:lang w:val="en-US" w:eastAsia="zh-CN" w:bidi="ar-SA"/>
    </w:rPr>
  </w:style>
  <w:style w:type="paragraph" w:styleId="13">
    <w:name w:val="toc 2"/>
    <w:basedOn w:val="1"/>
    <w:next w:val="1"/>
    <w:qFormat/>
    <w:uiPriority w:val="0"/>
    <w:pPr>
      <w:ind w:left="420" w:leftChars="200"/>
    </w:pPr>
  </w:style>
  <w:style w:type="paragraph" w:styleId="14">
    <w:name w:val="Title"/>
    <w:qFormat/>
    <w:uiPriority w:val="0"/>
    <w:pPr>
      <w:spacing w:line="360" w:lineRule="auto"/>
      <w:ind w:firstLine="480"/>
    </w:pPr>
    <w:rPr>
      <w:rFonts w:ascii="Times New Roman" w:hAnsi="Times New Roman" w:eastAsia="宋体" w:cstheme="minorBidi"/>
      <w:color w:val="000000"/>
      <w:sz w:val="56"/>
      <w:szCs w:val="56"/>
      <w:lang w:val="en-US" w:eastAsia="zh-CN" w:bidi="ar-SA"/>
    </w:rPr>
  </w:style>
  <w:style w:type="table" w:styleId="16">
    <w:name w:val="Table Grid"/>
    <w:basedOn w:val="1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8">
    <w:name w:val="endnote reference"/>
    <w:semiHidden/>
    <w:unhideWhenUsed/>
    <w:qFormat/>
    <w:uiPriority w:val="99"/>
    <w:rPr>
      <w:vertAlign w:val="superscript"/>
    </w:rPr>
  </w:style>
  <w:style w:type="character" w:styleId="19">
    <w:name w:val="Hyperlink"/>
    <w:unhideWhenUsed/>
    <w:qFormat/>
    <w:uiPriority w:val="99"/>
    <w:rPr>
      <w:color w:val="0563C1"/>
      <w:u w:val="single"/>
    </w:rPr>
  </w:style>
  <w:style w:type="character" w:styleId="20">
    <w:name w:val="footnote reference"/>
    <w:semiHidden/>
    <w:unhideWhenUsed/>
    <w:qFormat/>
    <w:uiPriority w:val="99"/>
    <w:rPr>
      <w:vertAlign w:val="superscript"/>
    </w:rPr>
  </w:style>
  <w:style w:type="paragraph" w:styleId="21">
    <w:name w:val="List Paragraph"/>
    <w:basedOn w:val="1"/>
    <w:qFormat/>
    <w:uiPriority w:val="0"/>
    <w:pPr>
      <w:spacing w:line="360" w:lineRule="auto"/>
      <w:ind w:firstLine="480"/>
    </w:pPr>
  </w:style>
  <w:style w:type="character" w:customStyle="1" w:styleId="22">
    <w:name w:val="脚注文本 字符"/>
    <w:link w:val="12"/>
    <w:semiHidden/>
    <w:unhideWhenUsed/>
    <w:qFormat/>
    <w:uiPriority w:val="99"/>
    <w:rPr>
      <w:sz w:val="20"/>
      <w:szCs w:val="20"/>
    </w:rPr>
  </w:style>
  <w:style w:type="character" w:customStyle="1" w:styleId="23">
    <w:name w:val="尾注文本 字符"/>
    <w:link w:val="9"/>
    <w:semiHidden/>
    <w:unhideWhenUsed/>
    <w:qFormat/>
    <w:uiPriority w:val="99"/>
    <w:rPr>
      <w:sz w:val="20"/>
      <w:szCs w:val="20"/>
    </w:rPr>
  </w:style>
</w:styles>
</file>

<file path=word/_rels/document.xml.rels><?xml version="1.0" encoding="UTF-8"?><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10675</Words>
  <Characters>15258</Characters>
  <Lines>484</Lines>
  <Paragraphs>384</Paragraphs>
  <TotalTime>7</TotalTime>
  <ScaleCrop>false</ScaleCrop>
  <LinksUpToDate>false</LinksUpToDate>
  <CharactersWithSpaces>15942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2026-07-14T07:36:00Z</dcterms:created>
  <dc:creator>MH Agent</dc:creator>
  <cp:lastModifiedBy>陈弋函</cp:lastModifiedBy>
  <dcterms:modified xsi:type="dcterms:W3CDTF">2026-07-15T14:15:09Z</dcterms:modified>
  <dc:title>main</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eyJoZGlkIjoiMWJiYTgwZDY1NDUyMDQ4NzQ1MzQyMzY5OWQxOTIzNDQiLCJ1c2VySWQiOiIxMTYxMzk5MzE3In0=</vt:lpwstr>
  </property>
  <property fmtid="{D5CDD505-2E9C-101B-9397-08002B2CF9AE}" pid="3" name="KSOProductBuildVer">
    <vt:lpwstr>2052-12.1.0.26895</vt:lpwstr>
  </property>
  <property fmtid="{D5CDD505-2E9C-101B-9397-08002B2CF9AE}" pid="4" name="ICV">
    <vt:lpwstr>8799D4A5CC9C494894532712C293C435_12</vt:lpwstr>
  </property>
</Properties>
</file>